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6740" w14:textId="77777777" w:rsidR="008C13FE" w:rsidRPr="001C5290" w:rsidRDefault="008C13FE" w:rsidP="008C13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Etická linka – </w:t>
      </w:r>
      <w:proofErr w:type="spellStart"/>
      <w:r w:rsidRPr="001C52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whistleblowing</w:t>
      </w:r>
      <w:proofErr w:type="spellEnd"/>
    </w:p>
    <w:p w14:paraId="61CAE6CD" w14:textId="77777777" w:rsidR="008C13FE" w:rsidRPr="001C5290" w:rsidRDefault="008C13FE" w:rsidP="008C13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053DAF" w14:textId="77777777" w:rsidR="008C13FE" w:rsidRPr="001C5290" w:rsidRDefault="008C13FE" w:rsidP="008C13FE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E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AA071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cs-CZ"/>
          <w14:ligatures w14:val="none"/>
        </w:rPr>
        <w:t> </w:t>
      </w: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souladu se zákonem č. 171/2023 Sb., o ochraně oznamovatelů,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 </w:t>
      </w: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umož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něno</w:t>
      </w: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oznamovatelům podat oznámení o svém důvodném podezření na jednání (včetně protiprávních skutků či neetického chování), které by mohlo být v rozporu s obecnými právními předpisy či závaznými interními normami naší organizace.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</w:t>
      </w: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avazuje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 se</w:t>
      </w: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poskytnout oznamovateli ochranu před negativními důsledky vyjma případů, že podání nebylo učiněno v dobré víře, či bylo použito vědomě nepravdivých či zavádějících informací nebo došlo k zapojení samotného oznamovatele do nezákonného či neetického jednání.</w:t>
      </w:r>
    </w:p>
    <w:p w14:paraId="241C3C0A" w14:textId="77777777" w:rsidR="008C13FE" w:rsidRPr="001C5290" w:rsidRDefault="008C13FE" w:rsidP="008C13FE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C5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 přijímání a řešení oznámení spočívá v zabránění nežádoucímu chování, škodám na zdraví, životním prostředí, zpronevěře veřejných financí apod., a také nastavení etického prostředí v organizaci. </w:t>
      </w:r>
    </w:p>
    <w:p w14:paraId="6A3820D3" w14:textId="77777777" w:rsidR="008C13FE" w:rsidRPr="001C5290" w:rsidRDefault="008C13FE" w:rsidP="008C13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 podání oznámení lze využít vnitřní oznamovací systém organizace nebo vnější oznamovací systém Ministerstva spravedlnosti ČR. Dále lze provést oznámení zveřejněním.</w:t>
      </w:r>
    </w:p>
    <w:p w14:paraId="06502CA7" w14:textId="77777777" w:rsidR="008C13FE" w:rsidRPr="001C5290" w:rsidRDefault="008C13FE" w:rsidP="008C13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Oznámení podávané prostřednictvím vnitřního oznamovacího systému musí obsahovat minimálně tyto údaje:</w:t>
      </w:r>
    </w:p>
    <w:p w14:paraId="4CCDA8A8" w14:textId="77777777" w:rsidR="008C13FE" w:rsidRPr="001C5290" w:rsidRDefault="008C13FE" w:rsidP="008C13FE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Jméno, příjmení a datum narození oznamovatele (případně jiné údaje umožňující identifikaci);</w:t>
      </w:r>
    </w:p>
    <w:p w14:paraId="08CC1265" w14:textId="77777777" w:rsidR="008C13FE" w:rsidRPr="001C5290" w:rsidRDefault="008C13FE" w:rsidP="008C13FE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Určitý a srozumitelný popis jednání, které je předmětem oznámení, z</w:t>
      </w:r>
      <w:r w:rsidRPr="001D252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oznámení musí být zřejmé, proti které osobě směřuje a jakého jednání se týká tak, aby bylo možné jej řádně prošetřit;</w:t>
      </w:r>
    </w:p>
    <w:p w14:paraId="17EA6C9C" w14:textId="77777777" w:rsidR="008C13FE" w:rsidRPr="001C5290" w:rsidRDefault="008C13FE" w:rsidP="008C13FE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52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Důkazy prokazující jednání popsané v oznámení.  </w:t>
      </w:r>
    </w:p>
    <w:p w14:paraId="17554DD4" w14:textId="77777777" w:rsidR="008C13FE" w:rsidRPr="001C5290" w:rsidRDefault="008C13FE" w:rsidP="008C13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Nelze oznamovat skutečnosti vědomě nepravdivé, takové jednání může být sankcionováno pokutou ve výši až 50 tisíc Kč.</w:t>
      </w: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97777C" w14:textId="77777777" w:rsidR="008C13FE" w:rsidRPr="001C5290" w:rsidRDefault="008C13FE" w:rsidP="008C13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Oznamovatel by měl </w:t>
      </w:r>
      <w:r w:rsidRPr="001C5290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jednat ve veřejném zájmu a v dobré víře, že jím podávané oznámení se opírá o věrohodná fakta a skutečnosti. Och</w:t>
      </w: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rana před odvetnými opatřeními se nevztahuje na osobu, která učinila vědomě nepravdivé oznámení.</w:t>
      </w:r>
    </w:p>
    <w:p w14:paraId="53CFB619" w14:textId="77777777" w:rsidR="008C13FE" w:rsidRPr="001C5290" w:rsidRDefault="008C13FE" w:rsidP="008C13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Předmětem oznámení může být takové jednání, které</w:t>
      </w: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289C60E" w14:textId="77777777" w:rsidR="008C13FE" w:rsidRPr="001C5290" w:rsidRDefault="008C13FE" w:rsidP="008C13FE">
      <w:pPr>
        <w:pStyle w:val="Default"/>
        <w:numPr>
          <w:ilvl w:val="0"/>
          <w:numId w:val="2"/>
        </w:numPr>
        <w:ind w:left="284" w:hanging="284"/>
        <w:jc w:val="both"/>
      </w:pPr>
      <w:r w:rsidRPr="001C5290">
        <w:t xml:space="preserve">má znaky trestného činu, </w:t>
      </w:r>
    </w:p>
    <w:p w14:paraId="5A7FF348" w14:textId="77777777" w:rsidR="008C13FE" w:rsidRPr="001C5290" w:rsidRDefault="008C13FE" w:rsidP="008C13FE">
      <w:pPr>
        <w:pStyle w:val="Default"/>
        <w:numPr>
          <w:ilvl w:val="0"/>
          <w:numId w:val="2"/>
        </w:numPr>
        <w:ind w:left="284" w:hanging="284"/>
        <w:jc w:val="both"/>
      </w:pPr>
      <w:r w:rsidRPr="001C5290">
        <w:t xml:space="preserve">má znaky přestupku, za který zákon stanoví sazbu pokuty, jejíž horní hranice je alespoň 100 tisíc Kč, </w:t>
      </w:r>
    </w:p>
    <w:p w14:paraId="79A4F615" w14:textId="77777777" w:rsidR="008C13FE" w:rsidRPr="001C5290" w:rsidRDefault="008C13FE" w:rsidP="008C13FE">
      <w:pPr>
        <w:pStyle w:val="Default"/>
        <w:numPr>
          <w:ilvl w:val="0"/>
          <w:numId w:val="2"/>
        </w:numPr>
        <w:ind w:left="284" w:hanging="284"/>
        <w:jc w:val="both"/>
      </w:pPr>
      <w:r w:rsidRPr="001C5290">
        <w:t xml:space="preserve">porušuje zákon o ochraně oznamovatelů, nebo </w:t>
      </w:r>
    </w:p>
    <w:p w14:paraId="4881772B" w14:textId="77777777" w:rsidR="008C13FE" w:rsidRPr="001C5290" w:rsidRDefault="008C13FE" w:rsidP="008C13FE">
      <w:pPr>
        <w:pStyle w:val="Default"/>
        <w:numPr>
          <w:ilvl w:val="0"/>
          <w:numId w:val="2"/>
        </w:numPr>
        <w:ind w:left="284" w:hanging="284"/>
        <w:jc w:val="both"/>
      </w:pPr>
      <w:r w:rsidRPr="001C5290">
        <w:t xml:space="preserve">porušuje jiný právní předpis nebo předpis Evropské unie v oblasti: </w:t>
      </w:r>
    </w:p>
    <w:p w14:paraId="29C58A0F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finančních služeb, povinného auditu a jiných ověřovacích služeb, finančních produktů a finančních trhů, </w:t>
      </w:r>
    </w:p>
    <w:p w14:paraId="1A4E2856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 daně z příjmů právnických osob, </w:t>
      </w:r>
    </w:p>
    <w:p w14:paraId="436E1846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předcházení legalizaci výnosů z trestné činnosti a financování terorismu, </w:t>
      </w:r>
    </w:p>
    <w:p w14:paraId="71A615A3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ochrany spotřebitele, </w:t>
      </w:r>
    </w:p>
    <w:p w14:paraId="0B98F0C0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souladu s požadavky na výrobky včetně jejich bezpečnosti, </w:t>
      </w:r>
    </w:p>
    <w:p w14:paraId="0558A3D6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bezpečnosti dopravy, přepravy a provozu na pozemních komunikacích, </w:t>
      </w:r>
    </w:p>
    <w:p w14:paraId="3491F10E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ochrany životního prostředí, </w:t>
      </w:r>
    </w:p>
    <w:p w14:paraId="5DD97549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bezpečnosti potravin a krmiv a ochrany zvířat a jejich zdraví,  </w:t>
      </w:r>
    </w:p>
    <w:p w14:paraId="7A754B21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radiační ochrany a jaderné bezpečnosti, </w:t>
      </w:r>
    </w:p>
    <w:p w14:paraId="00D03A7C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hospodářské soutěže, veřejných dražeb a zadávání veřejných zakázek, </w:t>
      </w:r>
    </w:p>
    <w:p w14:paraId="4F606683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ochrany vnitřního pořádku a bezpečnosti, života a zdraví, </w:t>
      </w:r>
    </w:p>
    <w:p w14:paraId="404983A9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lastRenderedPageBreak/>
        <w:t xml:space="preserve">ochrany osobních údajů, soukromí a bezpečnosti sítí elektronických komunikací a informačních systémů, </w:t>
      </w:r>
    </w:p>
    <w:p w14:paraId="5F4CC80E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ochrany finančních zájmů Evropské unie, </w:t>
      </w:r>
    </w:p>
    <w:p w14:paraId="1FA39CE0" w14:textId="77777777" w:rsidR="008C13FE" w:rsidRPr="001C5290" w:rsidRDefault="008C13FE" w:rsidP="008C13FE">
      <w:pPr>
        <w:pStyle w:val="Default"/>
        <w:numPr>
          <w:ilvl w:val="0"/>
          <w:numId w:val="3"/>
        </w:numPr>
      </w:pPr>
      <w:r w:rsidRPr="001C5290">
        <w:t xml:space="preserve">fungování vnitřního trhu včetně ochrany hospodářské soutěže a státní podpory podle práva Evropské unie. </w:t>
      </w:r>
    </w:p>
    <w:p w14:paraId="62C60468" w14:textId="77777777" w:rsidR="008C13FE" w:rsidRPr="001C5290" w:rsidRDefault="008C13FE" w:rsidP="008C13F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Oznámení může prostřednictvím vnitřního oznamovacího systému oznámit výhradně osoba, které pro organizaci vykonává práci nebo obdobnou činnost.</w:t>
      </w: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Jedná především o:</w:t>
      </w:r>
    </w:p>
    <w:p w14:paraId="61A3EB1D" w14:textId="77777777" w:rsidR="008C13FE" w:rsidRPr="001C5290" w:rsidRDefault="008C13FE" w:rsidP="008C13FE">
      <w:pPr>
        <w:pStyle w:val="Default"/>
      </w:pPr>
    </w:p>
    <w:p w14:paraId="687F8F80" w14:textId="77777777" w:rsidR="008C13FE" w:rsidRPr="001C5290" w:rsidRDefault="008C13FE" w:rsidP="008C13FE">
      <w:pPr>
        <w:pStyle w:val="Default"/>
      </w:pPr>
      <w:r w:rsidRPr="001C5290">
        <w:t xml:space="preserve">a) závislou činnost, </w:t>
      </w:r>
    </w:p>
    <w:p w14:paraId="00B104C9" w14:textId="77777777" w:rsidR="008C13FE" w:rsidRPr="001C5290" w:rsidRDefault="008C13FE" w:rsidP="008C13FE">
      <w:pPr>
        <w:pStyle w:val="Default"/>
      </w:pPr>
      <w:r w:rsidRPr="001C5290">
        <w:t xml:space="preserve">b) službu, </w:t>
      </w:r>
    </w:p>
    <w:p w14:paraId="221139FC" w14:textId="77777777" w:rsidR="008C13FE" w:rsidRPr="001C5290" w:rsidRDefault="008C13FE" w:rsidP="008C13FE">
      <w:pPr>
        <w:pStyle w:val="Default"/>
      </w:pPr>
      <w:r w:rsidRPr="001C5290">
        <w:t xml:space="preserve">c) samostatnou výdělečnou činnost, </w:t>
      </w:r>
    </w:p>
    <w:p w14:paraId="09EA3D69" w14:textId="77777777" w:rsidR="008C13FE" w:rsidRPr="001C5290" w:rsidRDefault="008C13FE" w:rsidP="008C13FE">
      <w:pPr>
        <w:pStyle w:val="Default"/>
      </w:pPr>
      <w:r w:rsidRPr="001C5290">
        <w:t xml:space="preserve">d) výkon práv spojených s účastí v právnické osobě, </w:t>
      </w:r>
    </w:p>
    <w:p w14:paraId="7A42A159" w14:textId="77777777" w:rsidR="008C13FE" w:rsidRPr="001C5290" w:rsidRDefault="008C13FE" w:rsidP="008C13FE">
      <w:pPr>
        <w:pStyle w:val="Default"/>
      </w:pPr>
      <w:r w:rsidRPr="001C5290">
        <w:t xml:space="preserve">e) výkon funkce člena orgánu právnické osoby, </w:t>
      </w:r>
    </w:p>
    <w:p w14:paraId="6934BE5D" w14:textId="77777777" w:rsidR="008C13FE" w:rsidRPr="001C5290" w:rsidRDefault="008C13FE" w:rsidP="008C13FE">
      <w:pPr>
        <w:pStyle w:val="Default"/>
      </w:pPr>
      <w:r w:rsidRPr="001C5290">
        <w:t xml:space="preserve">f) plnění úkolů v rámci činnosti právnické osoby, v jejím zájmu, jejím jménem nebo na její účet, </w:t>
      </w:r>
    </w:p>
    <w:p w14:paraId="2777F517" w14:textId="77777777" w:rsidR="008C13FE" w:rsidRPr="001C5290" w:rsidRDefault="008C13FE" w:rsidP="008C13FE">
      <w:pPr>
        <w:pStyle w:val="Default"/>
      </w:pPr>
      <w:r w:rsidRPr="001C5290">
        <w:t xml:space="preserve">g) správu svěřenského fondu, </w:t>
      </w:r>
    </w:p>
    <w:p w14:paraId="40023E22" w14:textId="77777777" w:rsidR="008C13FE" w:rsidRPr="001C5290" w:rsidRDefault="008C13FE" w:rsidP="008C13FE">
      <w:pPr>
        <w:pStyle w:val="Default"/>
      </w:pPr>
      <w:r w:rsidRPr="001C5290">
        <w:t xml:space="preserve">h) dobrovolnickou činnost, </w:t>
      </w:r>
    </w:p>
    <w:p w14:paraId="311682D5" w14:textId="77777777" w:rsidR="008C13FE" w:rsidRPr="001C5290" w:rsidRDefault="008C13FE" w:rsidP="008C13FE">
      <w:pPr>
        <w:pStyle w:val="Default"/>
      </w:pPr>
      <w:r w:rsidRPr="001C5290">
        <w:t xml:space="preserve">i) odborná praxi, stáž, </w:t>
      </w:r>
    </w:p>
    <w:p w14:paraId="47A5EF1C" w14:textId="77777777" w:rsidR="008C13FE" w:rsidRPr="001C5290" w:rsidRDefault="008C13FE" w:rsidP="008C13FE">
      <w:pPr>
        <w:pStyle w:val="Default"/>
      </w:pPr>
      <w:r w:rsidRPr="001C5290">
        <w:t>j) výkon práv a povinností vyplývajících ze smlouvy, jejímž předmětem je poskytování dodávek, služeb, stavebních prací nebo jiného obdobného plnění,</w:t>
      </w:r>
    </w:p>
    <w:p w14:paraId="43D2D4D2" w14:textId="77777777" w:rsidR="008C13FE" w:rsidRPr="001C5290" w:rsidRDefault="008C13FE" w:rsidP="008C13FE">
      <w:pPr>
        <w:pStyle w:val="Default"/>
        <w:rPr>
          <w:sz w:val="23"/>
          <w:szCs w:val="23"/>
        </w:rPr>
      </w:pPr>
      <w:r w:rsidRPr="001C5290">
        <w:t>k) ucházení se o práci nebo obdobnou činnost.</w:t>
      </w:r>
      <w:r w:rsidRPr="001C5290">
        <w:rPr>
          <w:sz w:val="23"/>
          <w:szCs w:val="23"/>
        </w:rPr>
        <w:t xml:space="preserve"> </w:t>
      </w:r>
    </w:p>
    <w:p w14:paraId="0A3B595B" w14:textId="77777777" w:rsidR="008C13FE" w:rsidRPr="001C5290" w:rsidRDefault="008C13FE" w:rsidP="008C13FE">
      <w:pPr>
        <w:spacing w:before="12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608"/>
      </w:tblGrid>
      <w:tr w:rsidR="008C13FE" w:rsidRPr="001C5290" w14:paraId="64111381" w14:textId="77777777" w:rsidTr="00706E9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9C1A" w14:textId="77777777" w:rsidR="008C13FE" w:rsidRPr="001C5290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1A745316" w14:textId="77777777" w:rsidR="008C13FE" w:rsidRPr="001C5290" w:rsidRDefault="008C13FE" w:rsidP="00706E9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Způsob předání oznámení</w:t>
            </w:r>
          </w:p>
          <w:p w14:paraId="7BA42AF6" w14:textId="77777777" w:rsidR="008C13FE" w:rsidRPr="001C5290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C13FE" w:rsidRPr="001C5290" w14:paraId="51A820C1" w14:textId="77777777" w:rsidTr="00706E9D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2AAE" w14:textId="77777777" w:rsidR="008C13FE" w:rsidRPr="001C52FD" w:rsidRDefault="008C13FE" w:rsidP="00706E9D">
            <w:p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C5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Příslušná osoba:</w:t>
            </w:r>
          </w:p>
          <w:p w14:paraId="194047DB" w14:textId="77777777" w:rsidR="008C13FE" w:rsidRPr="001C52FD" w:rsidRDefault="008C13FE" w:rsidP="00706E9D">
            <w:pPr>
              <w:spacing w:before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C52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E-mail (písemné podání):  </w:t>
            </w:r>
          </w:p>
          <w:p w14:paraId="52114CBD" w14:textId="77777777" w:rsidR="008C13FE" w:rsidRPr="001C5290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 (ústní podání):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C0A1" w14:textId="77777777" w:rsidR="008C13FE" w:rsidRPr="001D54E2" w:rsidRDefault="008C13FE" w:rsidP="00706E9D">
            <w:pPr>
              <w:spacing w:before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1D5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Ing. Roman Šmíd, MBA</w:t>
            </w:r>
          </w:p>
          <w:p w14:paraId="7D1FD5BF" w14:textId="77777777" w:rsidR="008C13FE" w:rsidRPr="001D54E2" w:rsidRDefault="008C13FE" w:rsidP="00706E9D">
            <w:pPr>
              <w:spacing w:before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hyperlink r:id="rId5" w:history="1">
              <w:r w:rsidRPr="001D54E2">
                <w:rPr>
                  <w:rStyle w:val="Hypertextovodkaz"/>
                  <w:rFonts w:ascii="Times New Roman" w:eastAsia="Times New Roman" w:hAnsi="Times New Roman"/>
                  <w:sz w:val="24"/>
                  <w:szCs w:val="24"/>
                  <w:lang w:eastAsia="cs-CZ"/>
                </w:rPr>
                <w:t>roman.smid@moore-czech.cz</w:t>
              </w:r>
            </w:hyperlink>
          </w:p>
          <w:p w14:paraId="49580AEE" w14:textId="77777777" w:rsidR="008C13FE" w:rsidRPr="001C5290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5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+420 724 602 134</w:t>
            </w:r>
          </w:p>
        </w:tc>
      </w:tr>
      <w:tr w:rsidR="008C13FE" w:rsidRPr="001C5290" w14:paraId="05C9F41A" w14:textId="77777777" w:rsidTr="00706E9D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7337" w14:textId="77777777" w:rsidR="008C13FE" w:rsidRPr="001C5290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Osobně: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DC6C" w14:textId="77777777" w:rsidR="008C13FE" w:rsidRPr="001C5290" w:rsidRDefault="008C13FE" w:rsidP="00706E9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Po telefonické domluvě s příslušnou osobou, nejpozději do 14 dnů ode dne, kdy o to oznamovatel požádá.  </w:t>
            </w:r>
          </w:p>
        </w:tc>
      </w:tr>
      <w:tr w:rsidR="008C13FE" w:rsidRPr="001C5290" w14:paraId="4351E268" w14:textId="77777777" w:rsidTr="00706E9D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4D42" w14:textId="77777777" w:rsidR="008C13FE" w:rsidRPr="001C5290" w:rsidRDefault="008C13FE" w:rsidP="00706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Listovní zásilkou (písemně) na adresu sídla organizace:</w:t>
            </w:r>
          </w:p>
          <w:p w14:paraId="19EE9F37" w14:textId="77777777" w:rsidR="008C13FE" w:rsidRPr="001C5290" w:rsidRDefault="008C13FE" w:rsidP="00706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(obálku nutno označit „NEOTEVÍRAT, WHISTLEBLOWING“)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CA55" w14:textId="77777777" w:rsidR="008C13FE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ANNA Český Brod, sociální služby pro seniory</w:t>
            </w:r>
          </w:p>
          <w:p w14:paraId="3985186A" w14:textId="77777777" w:rsidR="008C13FE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Žitomířská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323</w:t>
            </w:r>
          </w:p>
          <w:p w14:paraId="420665F6" w14:textId="77777777" w:rsidR="008C13FE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Český Brod</w:t>
            </w:r>
          </w:p>
          <w:p w14:paraId="0A8264D7" w14:textId="77777777" w:rsidR="008C13FE" w:rsidRPr="001E664B" w:rsidRDefault="008C13FE" w:rsidP="00706E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282 01</w:t>
            </w:r>
          </w:p>
          <w:p w14:paraId="476330BF" w14:textId="77777777" w:rsidR="008C13FE" w:rsidRPr="001C5290" w:rsidRDefault="008C13FE" w:rsidP="00706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7679383" w14:textId="77777777" w:rsidR="008C13FE" w:rsidRPr="001C5290" w:rsidRDefault="008C13FE" w:rsidP="008C13FE">
      <w:pPr>
        <w:pStyle w:val="Default"/>
      </w:pPr>
    </w:p>
    <w:p w14:paraId="1B92D95D" w14:textId="77777777" w:rsidR="008C13FE" w:rsidRPr="001C5290" w:rsidRDefault="008C13FE" w:rsidP="008C13FE">
      <w:pPr>
        <w:pStyle w:val="Default"/>
        <w:jc w:val="both"/>
        <w:rPr>
          <w:b/>
          <w:bCs/>
        </w:rPr>
      </w:pPr>
      <w:r w:rsidRPr="001C5290">
        <w:rPr>
          <w:b/>
          <w:bCs/>
        </w:rPr>
        <w:t>Povinný subjekt v souladu s § 9 zákona o ochraně oznamovatelů vylučuje přijímání oznámení od osoby, která pro povinný subjekt nevykonává práci nebo jinou obdobnou činnost. Dále nebudou přijímána anonymní oznámení.</w:t>
      </w:r>
    </w:p>
    <w:p w14:paraId="6BA99747" w14:textId="77777777" w:rsidR="008C13FE" w:rsidRPr="001C5290" w:rsidRDefault="008C13FE" w:rsidP="008C13FE">
      <w:pPr>
        <w:pStyle w:val="Default"/>
        <w:jc w:val="both"/>
        <w:rPr>
          <w:b/>
          <w:bCs/>
        </w:rPr>
      </w:pPr>
    </w:p>
    <w:p w14:paraId="641D7E78" w14:textId="77777777" w:rsidR="008C13FE" w:rsidRDefault="008C13FE" w:rsidP="008C13F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1C5290">
        <w:rPr>
          <w:rStyle w:val="Siln"/>
          <w:color w:val="000000"/>
          <w:bdr w:val="none" w:sz="0" w:space="0" w:color="auto" w:frame="1"/>
        </w:rPr>
        <w:lastRenderedPageBreak/>
        <w:t>Oznamovatelem</w:t>
      </w:r>
      <w:r w:rsidRPr="001C5290">
        <w:rPr>
          <w:color w:val="000000"/>
          <w:bdr w:val="none" w:sz="0" w:space="0" w:color="auto" w:frame="1"/>
        </w:rPr>
        <w:t> je ve smyslu</w:t>
      </w:r>
      <w:r>
        <w:rPr>
          <w:color w:val="000000"/>
          <w:bdr w:val="none" w:sz="0" w:space="0" w:color="auto" w:frame="1"/>
        </w:rPr>
        <w:t xml:space="preserve"> § 2</w:t>
      </w:r>
      <w:r w:rsidRPr="001C5290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zákona č. 171/2023 Sb., o ochraně oznamovatelů </w:t>
      </w:r>
      <w:r w:rsidRPr="001C5290">
        <w:rPr>
          <w:color w:val="000000"/>
          <w:bdr w:val="none" w:sz="0" w:space="0" w:color="auto" w:frame="1"/>
        </w:rPr>
        <w:t>fyzická osoba, která se </w:t>
      </w:r>
      <w:r w:rsidRPr="001C5290">
        <w:rPr>
          <w:rStyle w:val="Siln"/>
          <w:color w:val="000000"/>
          <w:bdr w:val="none" w:sz="0" w:space="0" w:color="auto" w:frame="1"/>
        </w:rPr>
        <w:t>v souvislosti s prací nebo jinou obdobnou činností</w:t>
      </w:r>
      <w:r w:rsidRPr="001C5290">
        <w:rPr>
          <w:color w:val="000000"/>
          <w:bdr w:val="none" w:sz="0" w:space="0" w:color="auto" w:frame="1"/>
        </w:rPr>
        <w:t> dozvěděla o protiprávním jednání, které porušuje právní předpis spadající do některé z oblastí vymezených zákonem o</w:t>
      </w:r>
      <w:r>
        <w:rPr>
          <w:color w:val="000000"/>
          <w:bdr w:val="none" w:sz="0" w:space="0" w:color="auto" w:frame="1"/>
        </w:rPr>
        <w:t> </w:t>
      </w:r>
      <w:r w:rsidRPr="001C5290">
        <w:rPr>
          <w:color w:val="000000"/>
          <w:bdr w:val="none" w:sz="0" w:space="0" w:color="auto" w:frame="1"/>
        </w:rPr>
        <w:t>ochraně oznamovatelů.</w:t>
      </w:r>
    </w:p>
    <w:p w14:paraId="5A89AF36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6F13A0DA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150" w:afterAutospacing="0"/>
        <w:rPr>
          <w:b/>
          <w:bCs/>
          <w:u w:val="single"/>
        </w:rPr>
      </w:pPr>
      <w:r w:rsidRPr="001C5290">
        <w:rPr>
          <w:b/>
          <w:bCs/>
          <w:u w:val="single"/>
        </w:rPr>
        <w:t>VNĚJŠÍ OZNAMOVACÍ SYSTÉM Ministerstva spravedlnosti ČR</w:t>
      </w:r>
    </w:p>
    <w:p w14:paraId="5F0EBD29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1C5290">
        <w:t xml:space="preserve">Oznámení lze podat také při využití tzv. vnějšího oznamovacího systému, který spravuje Ministerstvo spravedlnosti ČR. Vnější oznamovací systém je přístupný zde: </w:t>
      </w:r>
    </w:p>
    <w:p w14:paraId="537BB25F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</w:pPr>
      <w:hyperlink r:id="rId6" w:history="1">
        <w:r w:rsidRPr="001C5290">
          <w:rPr>
            <w:rStyle w:val="Hypertextovodkaz"/>
          </w:rPr>
          <w:t>https://oznamovatel.justice.cz/</w:t>
        </w:r>
      </w:hyperlink>
      <w:r w:rsidRPr="001C5290">
        <w:t xml:space="preserve"> </w:t>
      </w:r>
    </w:p>
    <w:p w14:paraId="4B76D69B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1C5290">
        <w:t xml:space="preserve">Po kliknutí na položku „oznamovatel“ se objeví dvě volby určené veřejnosti, a to „chci podat oznámení“ a „informace pro oznamovatele“.     </w:t>
      </w:r>
    </w:p>
    <w:p w14:paraId="2913C7F6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</w:pPr>
    </w:p>
    <w:p w14:paraId="76EADF10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  <w:rPr>
          <w:b/>
          <w:bCs/>
          <w:u w:val="single"/>
        </w:rPr>
      </w:pPr>
      <w:r w:rsidRPr="001C5290">
        <w:rPr>
          <w:b/>
          <w:bCs/>
          <w:u w:val="single"/>
        </w:rPr>
        <w:t>UVEŘEJNĚNÍ OZNÁMENÍ</w:t>
      </w:r>
    </w:p>
    <w:p w14:paraId="2B7C5995" w14:textId="77777777" w:rsidR="008C13FE" w:rsidRPr="001C5290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1C5290">
        <w:t>Oznamovatel může učinit oznámení také jeho uveřejněním, a to výhradně v případě, kdy:</w:t>
      </w:r>
    </w:p>
    <w:p w14:paraId="5C856AD7" w14:textId="77777777" w:rsidR="008C13FE" w:rsidRPr="001C5290" w:rsidRDefault="008C13FE" w:rsidP="008C13FE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1C5290">
        <w:t>podal oznámení prostřednictvím vnitřního nebo vnějšího oznamovacího systému ministerstva a nebyla přijata vhodná opatření, případně nebyla posouzena důvodnost oznámení;</w:t>
      </w:r>
    </w:p>
    <w:p w14:paraId="05609F6A" w14:textId="77777777" w:rsidR="008C13FE" w:rsidRPr="001C5290" w:rsidRDefault="008C13FE" w:rsidP="008C13FE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1C5290">
        <w:t>má oprávněný důvod se domnívat, že protiprávní jednání uvedené v oznámení může vést k bezprostřednímu nebo zjevnému ohrožení vnitřního pořádku nebo bezpečnosti, života nebo zdraví, životního prostředí nebo jiného veřejného zájmu nebo ke vzniku nenapravitelné újmy;</w:t>
      </w:r>
    </w:p>
    <w:p w14:paraId="66D048CC" w14:textId="77777777" w:rsidR="008C13FE" w:rsidRPr="001C5290" w:rsidRDefault="008C13FE" w:rsidP="008C13FE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1C5290">
        <w:t>má oprávněný důvod se domnívat, že v případě podání oznámení ministerstvu existuje vzhledem k okolnostem případu zvýšené riziko, že budou on nebo jiná osoba vyjmenovaná v zákoně vystaveni odvetným opatřením.</w:t>
      </w:r>
    </w:p>
    <w:p w14:paraId="5F85A927" w14:textId="77777777" w:rsidR="008C13FE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25B71E5A" w14:textId="77777777" w:rsidR="008C13FE" w:rsidRPr="00A401FA" w:rsidRDefault="008C13FE" w:rsidP="008C13FE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7D142CB9" w14:textId="77777777" w:rsidR="008C13FE" w:rsidRDefault="008C13FE" w:rsidP="008C13F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BDBDBD"/>
          <w:sz w:val="23"/>
          <w:szCs w:val="23"/>
        </w:rPr>
      </w:pPr>
      <w:r>
        <w:rPr>
          <w:rFonts w:ascii="Open Sans" w:hAnsi="Open Sans" w:cs="Open Sans"/>
          <w:color w:val="BDBDBD"/>
          <w:sz w:val="23"/>
          <w:szCs w:val="23"/>
        </w:rPr>
        <w:t> </w:t>
      </w:r>
    </w:p>
    <w:p w14:paraId="0A04A0BC" w14:textId="77777777" w:rsidR="008C13FE" w:rsidRPr="00C93B4F" w:rsidRDefault="008C13FE" w:rsidP="008C13FE">
      <w:pPr>
        <w:spacing w:before="120" w:line="240" w:lineRule="auto"/>
        <w:ind w:left="-709" w:right="-1417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6E96F295" w14:textId="77777777" w:rsidR="008C13FE" w:rsidRDefault="008C13FE" w:rsidP="008C13FE"/>
    <w:p w14:paraId="208454F1" w14:textId="77777777" w:rsidR="00E33074" w:rsidRDefault="00E33074"/>
    <w:sectPr w:rsidR="00E3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F01"/>
    <w:multiLevelType w:val="hybridMultilevel"/>
    <w:tmpl w:val="EC703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B54"/>
    <w:multiLevelType w:val="hybridMultilevel"/>
    <w:tmpl w:val="84C26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4CB8"/>
    <w:multiLevelType w:val="hybridMultilevel"/>
    <w:tmpl w:val="F0627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6C15"/>
    <w:multiLevelType w:val="hybridMultilevel"/>
    <w:tmpl w:val="7AC0B4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473289">
    <w:abstractNumId w:val="2"/>
  </w:num>
  <w:num w:numId="2" w16cid:durableId="1253205051">
    <w:abstractNumId w:val="0"/>
  </w:num>
  <w:num w:numId="3" w16cid:durableId="31080765">
    <w:abstractNumId w:val="3"/>
  </w:num>
  <w:num w:numId="4" w16cid:durableId="34016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FE"/>
    <w:rsid w:val="00144491"/>
    <w:rsid w:val="008C13FE"/>
    <w:rsid w:val="00BF1EE5"/>
    <w:rsid w:val="00E33074"/>
    <w:rsid w:val="00E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0A9"/>
  <w15:chartTrackingRefBased/>
  <w15:docId w15:val="{A238CFD7-0DE5-4DC0-BEED-B80BE2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13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C13F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C1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" TargetMode="External"/><Relationship Id="rId5" Type="http://schemas.openxmlformats.org/officeDocument/2006/relationships/hyperlink" Target="mailto:roman.smid@moore-cz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Hovorková</dc:creator>
  <cp:keywords/>
  <dc:description/>
  <cp:lastModifiedBy>Lucie Hovorková</cp:lastModifiedBy>
  <cp:revision>1</cp:revision>
  <dcterms:created xsi:type="dcterms:W3CDTF">2023-07-24T06:43:00Z</dcterms:created>
  <dcterms:modified xsi:type="dcterms:W3CDTF">2023-07-24T06:44:00Z</dcterms:modified>
</cp:coreProperties>
</file>