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7306" w14:textId="5395F451" w:rsidR="006C4D4B" w:rsidRDefault="007E455B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A248DC">
        <w:rPr>
          <w:rFonts w:ascii="Times New Roman" w:hAnsi="Times New Roman" w:cs="Times New Roman"/>
          <w:b/>
          <w:noProof/>
          <w:color w:val="234378"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3ACAA802" wp14:editId="071FC1B9">
            <wp:simplePos x="0" y="0"/>
            <wp:positionH relativeFrom="margin">
              <wp:posOffset>-635</wp:posOffset>
            </wp:positionH>
            <wp:positionV relativeFrom="margin">
              <wp:posOffset>-326390</wp:posOffset>
            </wp:positionV>
            <wp:extent cx="1013460" cy="146939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AC4"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Smlouva o poskytování sociální služby </w:t>
      </w:r>
    </w:p>
    <w:p w14:paraId="74C74B23" w14:textId="486D86FD" w:rsidR="00F94251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 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domově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396225" w:rsidRPr="001D7868">
        <w:rPr>
          <w:rFonts w:ascii="Arial" w:eastAsia="Times New Roman" w:hAnsi="Arial" w:cs="Times New Roman"/>
          <w:b/>
          <w:sz w:val="28"/>
          <w:szCs w:val="24"/>
          <w:lang w:eastAsia="cs-CZ"/>
        </w:rPr>
        <w:t>pro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senior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y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</w:t>
      </w:r>
    </w:p>
    <w:p w14:paraId="00C59633" w14:textId="77777777" w:rsidR="00CD4887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podle § 49 zákona č. 108/2006 Sb., o sociálních službách </w:t>
      </w:r>
    </w:p>
    <w:p w14:paraId="2BE188F3" w14:textId="6857863C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č. 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 xml:space="preserve"> DOCVARIABLE Smlouva_Cislo </w:instrTex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&lt;&lt;Číslo smlouvy&gt;&gt;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</w:p>
    <w:p w14:paraId="064FADC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(dále jen smlouva)</w:t>
      </w:r>
    </w:p>
    <w:p w14:paraId="39CA09BA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uzavřená mezi</w:t>
      </w:r>
    </w:p>
    <w:p w14:paraId="68BC243E" w14:textId="77777777" w:rsidR="00AD3A95" w:rsidRDefault="00AD3A95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417BECA6" w14:textId="38AD3AF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Poskytovatelem:</w:t>
      </w:r>
    </w:p>
    <w:p w14:paraId="39EA1178" w14:textId="77777777" w:rsidR="00C80D1A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ANNA ČESKÝ BROD, sociální služby pro seniory, </w:t>
      </w:r>
    </w:p>
    <w:p w14:paraId="4A32674F" w14:textId="58920404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příspěvková organizace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E1439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ěsta Český Brod</w:t>
      </w:r>
    </w:p>
    <w:p w14:paraId="69824E0B" w14:textId="77777777" w:rsid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proofErr w:type="spellStart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</w:t>
      </w:r>
    </w:p>
    <w:p w14:paraId="6CD1BA92" w14:textId="4ED8AD6F" w:rsidR="00BF0AC4" w:rsidRP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282 01 Český Brod</w:t>
      </w:r>
    </w:p>
    <w:p w14:paraId="44EF6A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IČO: 00873713</w:t>
      </w:r>
    </w:p>
    <w:p w14:paraId="2FC912F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Zastoupený  ředitelkou  Ing. Lucií Hovorkovou</w:t>
      </w:r>
    </w:p>
    <w:p w14:paraId="4FEA8186" w14:textId="007095A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oskytovatel</w:t>
      </w:r>
      <w:r w:rsidR="00EE0A37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 </w:t>
      </w:r>
    </w:p>
    <w:p w14:paraId="7277D70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A822B12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a</w:t>
      </w:r>
    </w:p>
    <w:p w14:paraId="200B5C80" w14:textId="5F40C310" w:rsidR="00BF0AC4" w:rsidRPr="001E5589" w:rsidRDefault="001E5589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</w:pPr>
      <w:r w:rsidRPr="001E5589"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  <w:t>Klientem:</w:t>
      </w:r>
    </w:p>
    <w:p w14:paraId="6EE8680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Pan(í)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Klient_JmenoKlienta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&lt;&lt;Klient&gt;&gt;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</w:p>
    <w:p w14:paraId="64EC947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Nar.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          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Klient_DatumNarozeni</w:instrTex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&lt;&lt;Datum narození&gt;&gt;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</w:p>
    <w:p w14:paraId="63094A43" w14:textId="60F7B832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K</w:t>
      </w:r>
      <w:r w:rsidR="001E5589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lient</w:t>
      </w:r>
    </w:p>
    <w:p w14:paraId="7672D7C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</w:p>
    <w:p w14:paraId="2ECD25F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I.</w:t>
      </w:r>
    </w:p>
    <w:p w14:paraId="5BD9894C" w14:textId="57D8B7B0" w:rsidR="008A661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Předmět smlouvy</w:t>
      </w:r>
    </w:p>
    <w:p w14:paraId="51E2363D" w14:textId="2A33284B" w:rsid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Předmětem smlouvy je stanovení podmínek, za kterých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poskytovat sociální  službu v souladu se zákonem číslo 108/2006 Sb. </w:t>
      </w:r>
      <w:r w:rsidR="00F94251">
        <w:rPr>
          <w:rFonts w:ascii="Arial" w:eastAsia="Times New Roman" w:hAnsi="Arial" w:cs="Times New Roman"/>
          <w:sz w:val="28"/>
          <w:szCs w:val="24"/>
          <w:lang w:eastAsia="cs-CZ"/>
        </w:rPr>
        <w:t>o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sociálních službách, ve znění pozdějších předpisů (dále jen zákon), s vyhláškou č. 505/2006 Sb., kterou se provádějí některá ustanovení zákona, ve znění pozdějších předpisů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 xml:space="preserve"> (dále jen vyhláška)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 a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navazujícími obecně závaznými právními předpisy.</w:t>
      </w:r>
    </w:p>
    <w:p w14:paraId="03232F4A" w14:textId="18F2E4D9" w:rsidR="008A6614" w:rsidRP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Smlouva upravuje vztahy mezi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lientem a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oskytovatelem služby a stanovuje práva a povinnosti obou stran.</w:t>
      </w:r>
    </w:p>
    <w:p w14:paraId="75B529E5" w14:textId="0CAD9023" w:rsidR="0084563D" w:rsidRPr="00C80D1A" w:rsidRDefault="007A0D19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Poskytovatel spolu s Klientem plánuje průběh poskytování sociální služby podle osobních cílů, potřeb a schopností Klienta. Naplňování osobního cíle je sledováno a pravidelně vyhodnocováno v rámci individuálního plánování služ</w:t>
      </w:r>
      <w:r w:rsidR="0064797C">
        <w:rPr>
          <w:rFonts w:ascii="Arial" w:eastAsia="Times New Roman" w:hAnsi="Arial" w:cs="Calibri"/>
          <w:sz w:val="28"/>
          <w:szCs w:val="24"/>
          <w:lang w:eastAsia="cs-CZ"/>
        </w:rPr>
        <w:t>by.</w:t>
      </w:r>
    </w:p>
    <w:p w14:paraId="4422C9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05A3D7F3" w14:textId="57471A7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II.</w:t>
      </w:r>
    </w:p>
    <w:p w14:paraId="11F8FDF0" w14:textId="28C63B2B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Místo, čas a rozsah služby</w:t>
      </w:r>
    </w:p>
    <w:p w14:paraId="424DA0BA" w14:textId="1188789C" w:rsidR="008A6614" w:rsidRPr="008A6614" w:rsidRDefault="00BF0AC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Služba se poskytuje v domově pro seniory provozovaném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oskytovatelem v Českém Brodě, </w:t>
      </w:r>
      <w:proofErr w:type="spellStart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323.</w:t>
      </w:r>
    </w:p>
    <w:p w14:paraId="3DCCC70E" w14:textId="7915D814" w:rsidR="00EE5577" w:rsidRDefault="00BF0AC4" w:rsidP="00CD488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Služba se poskytuje 24 hodin denně, a to každý den po dobu platnosti smlouvy.</w:t>
      </w:r>
    </w:p>
    <w:p w14:paraId="5EAEF5BA" w14:textId="74CB580D" w:rsidR="00DB1E72" w:rsidRPr="00EE5577" w:rsidRDefault="00EE5577" w:rsidP="00EE5577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br w:type="page"/>
      </w:r>
    </w:p>
    <w:p w14:paraId="4049B4E9" w14:textId="3EA0463C" w:rsidR="00BF0AC4" w:rsidRPr="00DB1E72" w:rsidRDefault="00BF0AC4" w:rsidP="00DB1E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lastRenderedPageBreak/>
        <w:t>Sociální služba se poskytuje v tomto rozsahu:</w:t>
      </w:r>
    </w:p>
    <w:p w14:paraId="66AE14C6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ubytování </w:t>
      </w:r>
    </w:p>
    <w:p w14:paraId="3F5FF0BB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stravování</w:t>
      </w:r>
    </w:p>
    <w:p w14:paraId="5EA318FD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úkony péče</w:t>
      </w:r>
    </w:p>
    <w:p w14:paraId="4B21BFC8" w14:textId="1D6BDCBA" w:rsidR="0094689E" w:rsidRPr="0094689E" w:rsidRDefault="00A9259E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sz w:val="28"/>
          <w:szCs w:val="24"/>
          <w:lang w:eastAsia="cs-CZ"/>
        </w:rPr>
        <w:t>Klientovi</w:t>
      </w:r>
      <w:r w:rsidR="00BF0AC4"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mohou být poskytovány jako fakultativní další služby za úhradu podle sazebníku fakultativních služeb.</w:t>
      </w:r>
    </w:p>
    <w:p w14:paraId="5669EA7C" w14:textId="66123591" w:rsidR="00D82C40" w:rsidRPr="00EC6200" w:rsidRDefault="008A661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Ošetřovatelskou</w:t>
      </w:r>
      <w:r w:rsidR="00F604E1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péči zajistí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oskytovatel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lientovi prostřednictvím zdravotnických pracovníků ve smyslu </w:t>
      </w:r>
      <w:proofErr w:type="spellStart"/>
      <w:r>
        <w:rPr>
          <w:rFonts w:ascii="Arial" w:eastAsia="Times New Roman" w:hAnsi="Arial" w:cs="Calibri"/>
          <w:sz w:val="28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EC6200">
        <w:rPr>
          <w:rFonts w:ascii="Arial" w:eastAsia="Times New Roman" w:hAnsi="Arial" w:cs="Arial"/>
          <w:sz w:val="28"/>
          <w:szCs w:val="24"/>
          <w:lang w:eastAsia="cs-CZ"/>
        </w:rPr>
        <w:t xml:space="preserve">§ 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>36 zákona.</w:t>
      </w:r>
    </w:p>
    <w:p w14:paraId="718BC36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9D453BC" w14:textId="2F1B1542" w:rsidR="00BF0AC4" w:rsidRPr="008A6614" w:rsidRDefault="008A661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III.</w:t>
      </w:r>
    </w:p>
    <w:p w14:paraId="036C8553" w14:textId="37FDE4EE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Podmínky poskytované služby</w:t>
      </w:r>
    </w:p>
    <w:p w14:paraId="75437B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Sociální služba se poskytuje za těchto podmínek:</w:t>
      </w:r>
    </w:p>
    <w:p w14:paraId="38F7D4FC" w14:textId="32CD6E9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nevyžaduje léčení a trvalé odborné ošetřování v lůžkovém zdravotnickém zařízení.</w:t>
      </w:r>
    </w:p>
    <w:p w14:paraId="16B293C0" w14:textId="4A65ABB0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akutní infekční nemocí.</w:t>
      </w:r>
    </w:p>
    <w:p w14:paraId="2617B5A2" w14:textId="469F4582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duševní poruchou, která by závažně narušovala kolektivní soužití. </w:t>
      </w:r>
    </w:p>
    <w:p w14:paraId="769FC883" w14:textId="1485EBAE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poskytne zdravotní dokumentaci nebo její opis smluvnímu lékaři zdravotní pojišťovny zajišťujícímu zdravotní péči v 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omově (pokud si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lient zvolí tohoto lékaře za svého ošetřujícího).</w:t>
      </w:r>
    </w:p>
    <w:p w14:paraId="6ADC406D" w14:textId="3CBD7E19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5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včas hradí úhradu za pobyt a stravu.</w:t>
      </w:r>
    </w:p>
    <w:p w14:paraId="1EA072BC" w14:textId="25352AB0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6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nebo jeho příbuzný mají právo si stěžovat na kvalitu nebo způsob poskytování sociální služby, aniž by tím byli jakýmkoliv způsobem ohroženi.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má k dispozici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nitřní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předpis č. 7/2010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-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Pravidla pro podávání stíž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ností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C5E67B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CBECEE0" w14:textId="241B92A7" w:rsidR="00BF0AC4" w:rsidRPr="00BF0AC4" w:rsidRDefault="00EC6200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IV</w:t>
      </w:r>
      <w:r w:rsidR="00BF0AC4"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</w:p>
    <w:p w14:paraId="69463A3C" w14:textId="79A86E6B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Průběh služby</w:t>
      </w:r>
    </w:p>
    <w:p w14:paraId="4634EF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Ubytování</w:t>
      </w:r>
    </w:p>
    <w:p w14:paraId="77DF9947" w14:textId="0F1491F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="00727F7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nastoupil do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omova dne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58083FE3" w14:textId="77777777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i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.  Druh pokoje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: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instrText>DOCVARIABLE Smlouva_BydleniPopis</w:instrTex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&lt;&lt;Popis bydlení&gt;&gt;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end"/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číslo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: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>DOCVARIABLE Pokoj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&lt;&lt;Pokoj&gt;&gt;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4F87D47C" w14:textId="0AE69B5F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Pokoj je vybaven následujícím zařízením: lůžko, noční stolek, šatní skříň, stůl, židle. Mimo pokoj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obvyklým způsobem užívat také společné prostory – knihovna, kazetový sál, relaxační místnost, jídelna, chodby, zahrada, nádvoří, společné toalety a koupelny.</w:t>
      </w:r>
    </w:p>
    <w:p w14:paraId="21D5EBA7" w14:textId="4F637FAB" w:rsidR="00727F7B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>Ubytování zahrnuje topení, teplou a studenou vodu, elektrický proud, úklid, praní,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žehlení,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drobné opravy ložního a osobního prádla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6BDCD21" w14:textId="4189AB21" w:rsidR="00BF0AC4" w:rsidRPr="00727F7B" w:rsidRDefault="00727F7B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bere na vědomí, že v případě mimořádných událostí může být poskytování služby na nezbytně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nutnou dobu omezeno.</w:t>
      </w:r>
    </w:p>
    <w:p w14:paraId="7626FC28" w14:textId="5AEDA504" w:rsidR="00BF0AC4" w:rsidRPr="00EE5577" w:rsidRDefault="00BF0AC4" w:rsidP="00E00A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6.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udržuje prostory k ubytování ve stavu způsobilém pro řádné ubytování a užívání.</w:t>
      </w:r>
    </w:p>
    <w:p w14:paraId="1C7CABD9" w14:textId="1D50B9F7" w:rsidR="00DB1E72" w:rsidRDefault="00BF0AC4" w:rsidP="00CD48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7.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Osobní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elektrické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spotřebiče je možno užívat pouze se souhlasem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 Pokud se nebude jednat o nový spotřebič, musí Klient doložit provedení elektrické revize.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souhlasí, aby u spotřebiče byly opakovaně prováděny elektrické revize, které zajistí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omov. Náklady s tímto spojené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lient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uhradí.</w:t>
      </w:r>
    </w:p>
    <w:p w14:paraId="47461A44" w14:textId="4E220129" w:rsidR="00BF0AC4" w:rsidRPr="00EC6200" w:rsidRDefault="00BF0AC4" w:rsidP="00DB1E7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8.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je povinen užívat prostory vyhrazené jemu k ubytování a k užívání řádně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 prostorách nesmí bez souhlasu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oskytovatele provádět  žádné změny.</w:t>
      </w:r>
    </w:p>
    <w:p w14:paraId="5D15C681" w14:textId="392A9D6A" w:rsidR="00BF0AC4" w:rsidRPr="00EE5577" w:rsidRDefault="00BF0AC4" w:rsidP="00EE5577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9. 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V případě ubytování na jednolůžkovém pokoji, či když obývá dvoulůžkový pokoj manželský pár, má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možnost vybavit si pokoj vlastním nábytkem.</w:t>
      </w:r>
      <w:r w:rsidR="00727F7B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V ostatních případech dle prostorových možností pokoje.</w:t>
      </w:r>
    </w:p>
    <w:p w14:paraId="276D21F3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Stravování</w:t>
      </w:r>
    </w:p>
    <w:p w14:paraId="3EB02685" w14:textId="77777777" w:rsidR="00FB4765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Times New Roman"/>
          <w:sz w:val="28"/>
          <w:szCs w:val="24"/>
          <w:lang w:eastAsia="cs-CZ"/>
        </w:rPr>
        <w:t>Klientovi</w:t>
      </w: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poskytováno celodenní stravování v souladu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vyhl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áškou 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>a to v rozsahu: snídaně, svačina, oběd, svačina, večeře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předem zveřejněn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ého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jídelní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líst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ku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a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e zásadami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stanovenými ve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 Vnitřním předpisu </w:t>
      </w:r>
    </w:p>
    <w:p w14:paraId="6E3DEE8C" w14:textId="6F6CE1F4" w:rsidR="00BF0AC4" w:rsidRPr="007F7541" w:rsidRDefault="00384F9F" w:rsidP="00FB47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č. 5/2010</w:t>
      </w:r>
      <w:r w:rsidR="00FB4765">
        <w:rPr>
          <w:rFonts w:ascii="Arial" w:eastAsia="Times New Roman" w:hAnsi="Arial" w:cs="Times New Roman"/>
          <w:sz w:val="28"/>
          <w:szCs w:val="24"/>
          <w:lang w:eastAsia="cs-CZ"/>
        </w:rPr>
        <w:t xml:space="preserve"> - 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Vnitřní pravidl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a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diabetické diety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poskytována i druhá večeře.</w:t>
      </w:r>
    </w:p>
    <w:p w14:paraId="57700DA1" w14:textId="32E5BCE2" w:rsidR="00BF0AC4" w:rsidRPr="00EE5577" w:rsidRDefault="007F7541" w:rsidP="00EE5577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2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Odhlašování stravy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se řídí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Vnitřním předpisem č. 4/2015</w:t>
      </w:r>
      <w:r w:rsidR="00DB1E72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-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Pobyt klientů mimo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.</w:t>
      </w:r>
    </w:p>
    <w:p w14:paraId="00C7C2D7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Péče</w:t>
      </w:r>
    </w:p>
    <w:p w14:paraId="7CA0FD31" w14:textId="7AC18606" w:rsidR="00BF0AC4" w:rsidRPr="00BF0AC4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Poskytovatel se zavazuje a je povinen poskytovat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420E23" w:rsidRPr="007F7541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, který je příjemcem</w:t>
      </w:r>
      <w:r w:rsidRPr="00CA2D1E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příspěvku na péči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 xml:space="preserve"> (dále jen </w:t>
      </w:r>
      <w:r w:rsidR="00DB1E72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PNP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tyto základní činnosti – dle </w:t>
      </w:r>
      <w:r w:rsidR="000D38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vyhlášky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:</w:t>
      </w:r>
    </w:p>
    <w:p w14:paraId="471E41B7" w14:textId="77777777" w:rsidR="00BF0AC4" w:rsidRPr="00BF0AC4" w:rsidRDefault="00BF0AC4" w:rsidP="004F34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zvládání běžných úkonů péče o vlastní osobu</w:t>
      </w:r>
    </w:p>
    <w:p w14:paraId="6ECBE3EB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osobní hygieně nebo poskytnutí podmínek pro osobní hygienu</w:t>
      </w:r>
    </w:p>
    <w:p w14:paraId="1EF3916E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zprostředkování kontaktu se společenským prostředím</w:t>
      </w:r>
    </w:p>
    <w:p w14:paraId="011EE189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sociálně terapeutické činnosti</w:t>
      </w:r>
    </w:p>
    <w:p w14:paraId="18BEFD91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aktivizační činnosti</w:t>
      </w:r>
    </w:p>
    <w:p w14:paraId="29FB82BF" w14:textId="34A5CC77" w:rsidR="00CA2D1E" w:rsidRPr="007F7541" w:rsidRDefault="00BF0AC4" w:rsidP="007F754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pomoc při uplatňování práv, oprávněných zájmů a při obstarávání osobních </w:t>
      </w:r>
      <w:r w:rsidRPr="007F7541">
        <w:rPr>
          <w:rFonts w:ascii="Arial" w:eastAsia="Times New Roman" w:hAnsi="Arial" w:cs="Calibri"/>
          <w:sz w:val="28"/>
          <w:szCs w:val="24"/>
          <w:lang w:eastAsia="cs-CZ"/>
        </w:rPr>
        <w:t>záležitostí</w:t>
      </w:r>
    </w:p>
    <w:p w14:paraId="0FED1AF5" w14:textId="4666ECC0" w:rsidR="0065450E" w:rsidRPr="007F7541" w:rsidRDefault="007F7541" w:rsidP="00013CF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7F7541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Pokud Klient není příjemcem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PNP,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lientovi pomůže zprostředkovat po předchozím souhlasu žádost 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Úkony péče ve smyslu vyhlášky podle odst. 1 budou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>lientovi poskytovány bez úhrady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,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neboť po přiznání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bude zpětně doplacen od data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žádosti. Zároveň Poskytovatel zprostředkovává 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N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>ávrh na změnu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 xml:space="preserve"> výše přiznaného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2F53FC7C" w14:textId="7F15C228" w:rsidR="00BF0AC4" w:rsidRPr="00CA2D1E" w:rsidRDefault="00CA2D1E" w:rsidP="00DB035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3.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Zdravotní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péče je zajišťována ordinací lékařky jednou týdně.</w:t>
      </w:r>
    </w:p>
    <w:p w14:paraId="4409E5E8" w14:textId="073BF580" w:rsidR="00BF0AC4" w:rsidRPr="00BF0AC4" w:rsidRDefault="00223C31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4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hradí doplatky na léky, které nejsou plně hrazeny zdravotní pojišťovnou, a</w:t>
      </w:r>
      <w:r w:rsidR="00EF1983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hradí pomůcky pro inkontinenci, které přesahují limit hrazený zdravotní pojišťovnou. </w:t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se zavazuje, že doplatky léků a jiných zdravotnických potřeb bude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oskytovateli hradit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řádně a včas.</w:t>
      </w:r>
    </w:p>
    <w:p w14:paraId="738B7AC3" w14:textId="0147DF34" w:rsidR="00BF0AC4" w:rsidRPr="00EE5577" w:rsidRDefault="00223C31" w:rsidP="00EE5577">
      <w:pPr>
        <w:autoSpaceDE w:val="0"/>
        <w:autoSpaceDN w:val="0"/>
        <w:adjustRightInd w:val="0"/>
        <w:spacing w:line="240" w:lineRule="auto"/>
        <w:ind w:left="426" w:hanging="426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5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Další podrobnosti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poskytování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péče řeší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Vnitřní předpis č. 5/2010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-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Vnitřní</w:t>
      </w:r>
      <w:r w:rsidR="00657C8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pravidla.</w:t>
      </w:r>
    </w:p>
    <w:p w14:paraId="48F181C0" w14:textId="77777777" w:rsidR="00BF0AC4" w:rsidRPr="00BF0AC4" w:rsidRDefault="00BF0AC4" w:rsidP="00BF0AC4">
      <w:pPr>
        <w:tabs>
          <w:tab w:val="left" w:pos="660"/>
        </w:tabs>
        <w:autoSpaceDE w:val="0"/>
        <w:autoSpaceDN w:val="0"/>
        <w:adjustRightInd w:val="0"/>
        <w:spacing w:after="0" w:line="240" w:lineRule="auto"/>
        <w:ind w:left="276" w:hanging="276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Ochrana osobních údajů</w:t>
      </w:r>
    </w:p>
    <w:p w14:paraId="740B86C7" w14:textId="725277C5" w:rsidR="00E00AE0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se zavazuje v souladu se zákonem č. 1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10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/20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19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Sb., že všechny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lientovy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osobní údaje budou shromažďovány a zpracovávány pouze pro potřeby spojené se zajištěním pobytu v 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omově. Tyto údaje nebudou zpřístupněny či sdělovány nepovolaným právnickým a fyzickým osobám a nebudou použity k jinému než výše uvedenému účelu.</w:t>
      </w:r>
    </w:p>
    <w:p w14:paraId="1D8E2C9E" w14:textId="5EC4B0EE" w:rsidR="00BF0AC4" w:rsidRPr="00E00AE0" w:rsidRDefault="00E00AE0" w:rsidP="00E00AE0">
      <w:pPr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br w:type="page"/>
      </w:r>
    </w:p>
    <w:p w14:paraId="29AC4EB3" w14:textId="47DA6E21" w:rsidR="0052208A" w:rsidRDefault="00BF0AC4" w:rsidP="005220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6F76F8"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2.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má právo nahlížet do osobní dokumentace, kterou o něm vede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 (osobní spis vedený na sociálním úseku, individuální plán).</w:t>
      </w:r>
    </w:p>
    <w:p w14:paraId="793E6CF0" w14:textId="5EBD316B" w:rsidR="00BF0AC4" w:rsidRPr="0052208A" w:rsidRDefault="00420E23" w:rsidP="005220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má právo na informace o svém zdravotním stavu a má právo nahlížet do své zdravotní dokumentace.</w:t>
      </w:r>
      <w:r w:rsidR="005F2C7E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Klient dále může udělit jiné osobě souhlas s nahlížením.</w:t>
      </w:r>
    </w:p>
    <w:p w14:paraId="2C54A63E" w14:textId="3DEC8FA5" w:rsidR="00BF0AC4" w:rsidRPr="00DB0350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3.</w:t>
      </w:r>
      <w:r w:rsidR="00CC1A7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Klient bere na vědomí, že o jeho zdravotním stavu bude informován zdravotnick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ý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 xml:space="preserve">personál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oskytovatele.</w:t>
      </w:r>
    </w:p>
    <w:p w14:paraId="467A60D4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FE189B8" w14:textId="7FA29F5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V.</w:t>
      </w:r>
    </w:p>
    <w:p w14:paraId="7B202AE9" w14:textId="4DA0EBBE" w:rsidR="00DB0350" w:rsidRPr="00DB0350" w:rsidRDefault="00BF0AC4" w:rsidP="00EE5577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FF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služby</w:t>
      </w:r>
      <w:r w:rsidR="000E2F2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0E2F2B" w:rsidRPr="00093D73">
        <w:rPr>
          <w:rFonts w:ascii="Arial" w:eastAsia="Times New Roman" w:hAnsi="Arial" w:cs="Times New Roman"/>
          <w:b/>
          <w:sz w:val="28"/>
          <w:szCs w:val="24"/>
          <w:lang w:eastAsia="cs-CZ"/>
        </w:rPr>
        <w:t>a způsob jejího placen</w:t>
      </w:r>
      <w:r w:rsidR="00DB0350">
        <w:rPr>
          <w:rFonts w:ascii="Arial" w:eastAsia="Times New Roman" w:hAnsi="Arial" w:cs="Times New Roman"/>
          <w:b/>
          <w:sz w:val="28"/>
          <w:szCs w:val="24"/>
          <w:lang w:eastAsia="cs-CZ"/>
        </w:rPr>
        <w:t>í</w:t>
      </w:r>
    </w:p>
    <w:p w14:paraId="116A3B48" w14:textId="77777777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Úhrada za ubytování a stravu</w:t>
      </w:r>
    </w:p>
    <w:p w14:paraId="2DD9EA5A" w14:textId="027C469D" w:rsidR="00B65E6B" w:rsidRPr="00B65E6B" w:rsidRDefault="00720FEE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1. </w:t>
      </w:r>
      <w:r w:rsidR="00420E23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je povinen zaplatit úhradu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za ubytování v částce 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>DOCVARIABLE Smlouva_CenaBydleni</w:instrTex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&lt;&lt;Denní částka za bydlení&gt;&gt;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 xml:space="preserve">,- Kč za den a úhradu za stravu v částce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instrText>DOCVARIABLE Smlouva_CenaStravy</w:instrTex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&lt;&lt;Denní částka za str. jednotku&gt;&gt;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,- Kč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za den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.  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Tyto částky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oskytovatel změnit v závislosti na změně obecně závazných právních předpisů upravujících úhrady za sociální služby, </w:t>
      </w:r>
      <w:r w:rsidR="00093D73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se souhlasem zřizovatele </w:t>
      </w:r>
      <w:r w:rsidR="0041097B">
        <w:rPr>
          <w:rFonts w:ascii="Arial" w:eastAsia="Times New Roman" w:hAnsi="Arial" w:cs="Calibri"/>
          <w:sz w:val="28"/>
          <w:szCs w:val="24"/>
          <w:lang w:eastAsia="cs-CZ"/>
        </w:rPr>
        <w:t>organizace</w:t>
      </w:r>
      <w:r w:rsidR="00BF0AC4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093D7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změna bude provedena písemným dodatkem ke smlouvě. </w:t>
      </w:r>
    </w:p>
    <w:p w14:paraId="7309FD59" w14:textId="5A5CDFC6" w:rsidR="00203777" w:rsidRPr="00DB0350" w:rsidRDefault="00B65E6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="00072FD1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Úhrada nákladů za poskytované služby za každý kalendářní měsíc trvání smlouvy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se stanovuje tak, že úhrada za kalendářní den se násobí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počtem dn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>í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v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měsíci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5DA4D337" w14:textId="169C1CF0" w:rsidR="00B65E6B" w:rsidRPr="00093D73" w:rsidRDefault="00203777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3.</w:t>
      </w:r>
      <w:r w:rsid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1A777B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se zavazuje a je povinen platit úhradu za pobyt a stravu zálohově</w:t>
      </w:r>
      <w:r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 a je splatná vždy do konce kalendářního měsíce</w:t>
      </w:r>
      <w:r w:rsidR="00A83222" w:rsidRPr="00093D73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13E9AE4B" w14:textId="7F0A68D4" w:rsidR="003F4A73" w:rsidRPr="008C36FC" w:rsidRDefault="001A777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V souladu s ustanovením 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73 odst. 3 zákona musí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ientovi po úhradě za ubytování a stravování zůstat minimálně 15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% z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jeho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příjmů. Pokud by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lientovi po zaplacení úhrady za ubytování a stravu za kalendářní měsíc nezůstala částka ve výši alespoň 15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%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jeho měsíčního příjmu, částka úhrad se sníží.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stanovení úhrady ve snížené výši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povinen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oskytovateli neprodleně oznamovat a dokládat veškeré změny v příjmu, které mají vliv na výši úhrady.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Dále může být také uzavřena 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Dohoda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o spoluúčasti do plné úhrady s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osobou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blízkou popřípadě s jinou fyzickou či právni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c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kou osobou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</w:t>
      </w:r>
      <w:proofErr w:type="spellStart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ust</w:t>
      </w:r>
      <w:proofErr w:type="spellEnd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037C67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71 odst. 3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zákona.</w:t>
      </w:r>
      <w:bookmarkStart w:id="0" w:name="_Hlk118783492"/>
    </w:p>
    <w:bookmarkEnd w:id="0"/>
    <w:p w14:paraId="068C6FFF" w14:textId="3628ABB5" w:rsidR="003F4A73" w:rsidRPr="0036593D" w:rsidRDefault="003B20CA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b/>
          <w:color w:val="00B0F0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s 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se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dohodli, že úhrada částek za ubytování a stravu bude probíhat takto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(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vybranou variantu zakřížkujte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: </w:t>
      </w:r>
      <w:r w:rsidR="009E330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6C1BB80F" w14:textId="05319A68" w:rsidR="003F4A73" w:rsidRPr="008C36FC" w:rsidRDefault="00322C96" w:rsidP="00322C96">
      <w:pPr>
        <w:pStyle w:val="Odstavecseseznamem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bookmarkStart w:id="1" w:name="_Hlk118714927"/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prostřednictvím hromadného poukazu České správy sociálního zabezpečení přímo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</w:t>
      </w:r>
    </w:p>
    <w:p w14:paraId="5F1A6353" w14:textId="5970D214" w:rsidR="003F4A73" w:rsidRPr="00EE5577" w:rsidRDefault="00A921D7" w:rsidP="00EE55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převodem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oskytovatel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e vedený u Komerční banky číslo </w:t>
      </w:r>
      <w:r w:rsidR="0059675D">
        <w:rPr>
          <w:rFonts w:ascii="Arial" w:eastAsia="Times New Roman" w:hAnsi="Arial" w:cs="Times New Roman"/>
          <w:sz w:val="28"/>
          <w:szCs w:val="24"/>
          <w:lang w:eastAsia="cs-CZ"/>
        </w:rPr>
        <w:t xml:space="preserve">              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43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 -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3520680277/0100</w:t>
      </w:r>
      <w:r w:rsidR="00322C96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, VS rodné číslo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D56B9E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</w:p>
    <w:p w14:paraId="514F4E50" w14:textId="224E0087" w:rsidR="003F4A73" w:rsidRPr="00D56B9E" w:rsidRDefault="00EE5577" w:rsidP="00D56B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v hotovosti v pokladně organizace </w:t>
      </w:r>
    </w:p>
    <w:p w14:paraId="58FEB1DB" w14:textId="1093CE8B" w:rsidR="00E00AE0" w:rsidRDefault="00EE5577" w:rsidP="00EE55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složenkou typu A</w:t>
      </w:r>
    </w:p>
    <w:p w14:paraId="7E994475" w14:textId="45CA5BB5" w:rsidR="00E00AE0" w:rsidRPr="00E00AE0" w:rsidRDefault="00E00AE0" w:rsidP="00E00AE0">
      <w:pPr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br w:type="page"/>
      </w:r>
    </w:p>
    <w:bookmarkEnd w:id="1"/>
    <w:p w14:paraId="4F147ECF" w14:textId="5B37EE30" w:rsidR="00EF1983" w:rsidRPr="00EF1983" w:rsidRDefault="00BF0AC4" w:rsidP="003C7E9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lastRenderedPageBreak/>
        <w:t xml:space="preserve">Jestliže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snížena úhrada za stravu a pobyt tak, aby mu zbylo 15% příjmu, a zároveň mu vznikne „vratka“ za neodebrané služby, postupuje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takto: </w:t>
      </w:r>
    </w:p>
    <w:p w14:paraId="55196173" w14:textId="5710D5F1" w:rsidR="00BF0AC4" w:rsidRPr="006F434A" w:rsidRDefault="00BF0AC4" w:rsidP="0052208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Z přeplatku („vratky“) bude odečtena částka, o kterou byla snížena úhrada z důvodu nedostatečného příjmu a teprve vzniklý rozdíl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p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ře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>veden na depozitní účet.</w:t>
      </w:r>
    </w:p>
    <w:p w14:paraId="61ADEB1C" w14:textId="405D104C" w:rsidR="0041097B" w:rsidRPr="00A44713" w:rsidRDefault="0041097B" w:rsidP="003C7E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7. Při předem oznámeném pobytu mimo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omov, nebo při předem oznámeném neo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debrání stravy a dále při pobytu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ve zdravotnickém zařízení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vrácen přeplatek („vratka“) ve výši ceny za potraviny hrazené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>lientem dle platného sazebníku úhrad.</w:t>
      </w:r>
    </w:p>
    <w:p w14:paraId="4FBEA6B2" w14:textId="02E510DB" w:rsidR="00BF0AC4" w:rsidRPr="00EE5577" w:rsidRDefault="00EE0A37" w:rsidP="00EE5577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41097B">
        <w:rPr>
          <w:rFonts w:ascii="Arial" w:eastAsia="Times New Roman" w:hAnsi="Arial" w:cs="Calibri"/>
          <w:sz w:val="28"/>
          <w:szCs w:val="24"/>
          <w:lang w:eastAsia="cs-CZ"/>
        </w:rPr>
        <w:t>8</w:t>
      </w:r>
      <w:r w:rsidR="00A921D7" w:rsidRPr="0041097B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3B20CA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C7E9F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>Vyúčtování úhrad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za aktuální měsíc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se provádí k 15. dni následujícího měsíce.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Klient obdrží podrobný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 xml:space="preserve"> doklad o přehledu úhrad a předpisů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600DD64D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za péči</w:t>
      </w:r>
    </w:p>
    <w:p w14:paraId="0DE3276F" w14:textId="157CF901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hradí úhradu za péči v aktuální výši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, který pobírá. Částka aktuální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je tak součástí úhrady. Pokud bude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změněna, změní se i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výše úhrady za péči ode dne přiznání nároku na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, pokud již v tu dobu byla služba poskytována.</w:t>
      </w:r>
    </w:p>
    <w:p w14:paraId="5D894677" w14:textId="58A09582" w:rsidR="00F616E0" w:rsidRDefault="00BF0AC4" w:rsidP="00F616E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souhlasí se zasíláním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oskytovatele čísl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20737377" w14:textId="77777777" w:rsidR="00F616E0" w:rsidRDefault="00F616E0" w:rsidP="00F616E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43-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3520680277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/0100 vedený u Komerční banky.</w:t>
      </w:r>
    </w:p>
    <w:p w14:paraId="07865B85" w14:textId="4E27906A" w:rsidR="00F84C4E" w:rsidRPr="00EE5577" w:rsidRDefault="00F84C4E" w:rsidP="00EE55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Př</w:t>
      </w:r>
      <w:r w:rsidR="00F616E0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i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předem oznámeném pobytu mimo </w:t>
      </w:r>
      <w:r w:rsidR="007A0D19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D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omov je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lientovi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oskytovatelem vrácena poměrná část pobíraného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formou vratky, pokud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lient pobýval mimo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Domov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celý kalendářní den. Při pobytu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lienta ve zdravotnickém zařízení se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nevrací.</w:t>
      </w:r>
    </w:p>
    <w:p w14:paraId="61E053DF" w14:textId="77777777" w:rsidR="00093D73" w:rsidRPr="00BF0AC4" w:rsidRDefault="00093D73" w:rsidP="00093D73">
      <w:pPr>
        <w:autoSpaceDE w:val="0"/>
        <w:autoSpaceDN w:val="0"/>
        <w:adjustRightInd w:val="0"/>
        <w:spacing w:after="0" w:line="240" w:lineRule="auto"/>
        <w:ind w:left="216" w:hanging="216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Depozitní účet</w:t>
      </w:r>
    </w:p>
    <w:p w14:paraId="75FE8DF1" w14:textId="11230268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. Klient se může dohodnout s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na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založení depozitního účtu, na který budou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převáděny veškeré přeplatky, vratky a zůstatky důchodu. </w:t>
      </w:r>
    </w:p>
    <w:p w14:paraId="41984106" w14:textId="5D13440E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Doplatky léků a jiných zdravotnických potřeb budou hrazeny z depozitního účtu, nedohodnou-li se strany jinak. </w:t>
      </w:r>
    </w:p>
    <w:p w14:paraId="0903615E" w14:textId="56E918CB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3.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epozitní účet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může </w:t>
      </w:r>
      <w:r w:rsidR="00072A50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1A4917">
        <w:rPr>
          <w:rFonts w:ascii="Arial" w:eastAsia="Times New Roman" w:hAnsi="Arial" w:cs="Times New Roman"/>
          <w:sz w:val="28"/>
          <w:szCs w:val="24"/>
          <w:lang w:eastAsia="cs-CZ"/>
        </w:rPr>
        <w:t>po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užít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 xml:space="preserve"> i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k úhradě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jiných plateb: </w:t>
      </w:r>
    </w:p>
    <w:p w14:paraId="61BB12FC" w14:textId="77777777" w:rsidR="00093D73" w:rsidRPr="00D56B9E" w:rsidRDefault="00093D73" w:rsidP="00A147F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drobné nákupy pro vlastní potřebu</w:t>
      </w:r>
    </w:p>
    <w:p w14:paraId="60D444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pedikúra</w:t>
      </w:r>
    </w:p>
    <w:p w14:paraId="4A5320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kadeřnické služby</w:t>
      </w:r>
    </w:p>
    <w:p w14:paraId="72110E2E" w14:textId="77777777" w:rsidR="00093D73" w:rsidRPr="00D56B9E" w:rsidRDefault="00093D73" w:rsidP="00D56B9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hygienické potřeby</w:t>
      </w:r>
    </w:p>
    <w:p w14:paraId="14AAF278" w14:textId="77777777" w:rsidR="00EE5577" w:rsidRPr="00EE5577" w:rsidRDefault="00093D73" w:rsidP="00EE557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poplatky u lékaře</w:t>
      </w:r>
    </w:p>
    <w:p w14:paraId="71F8875A" w14:textId="4AF583DB" w:rsidR="00EE5577" w:rsidRPr="00EE5577" w:rsidRDefault="00EE5577" w:rsidP="007175D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4.  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>Poskytova</w:t>
      </w:r>
      <w:r w:rsidR="00CC1FE9" w:rsidRPr="00EE5577">
        <w:rPr>
          <w:rFonts w:ascii="Arial" w:eastAsia="Times New Roman" w:hAnsi="Arial" w:cs="Times New Roman"/>
          <w:sz w:val="28"/>
          <w:szCs w:val="24"/>
          <w:lang w:eastAsia="cs-CZ"/>
        </w:rPr>
        <w:t>te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 xml:space="preserve">l předá </w:t>
      </w:r>
      <w:r w:rsidR="00AA65AC" w:rsidRPr="00EE5577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k 15. dni měsíční </w:t>
      </w:r>
      <w:r w:rsidR="00F616E0" w:rsidRPr="00EE5577"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>ýpis z depozitního účtu.</w:t>
      </w:r>
    </w:p>
    <w:p w14:paraId="43D43859" w14:textId="391492B6" w:rsidR="00093D73" w:rsidRPr="007175DF" w:rsidRDefault="00093D73" w:rsidP="007175DF">
      <w:pPr>
        <w:spacing w:after="0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Nakládání s cennostmi a většími finančními částkami</w:t>
      </w:r>
    </w:p>
    <w:p w14:paraId="3F828177" w14:textId="42439102" w:rsidR="00093D73" w:rsidRPr="00BF0AC4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byl seznámen </w:t>
      </w:r>
      <w:r w:rsidR="006F434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 tím, že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požádat o uložení cenných věcí, peněžní hotovost</w:t>
      </w:r>
      <w:r w:rsidR="00F616E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nebo vkladních knížek do úschovy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oskytovatele.</w:t>
      </w:r>
    </w:p>
    <w:p w14:paraId="0757869F" w14:textId="4FD4EFA2" w:rsidR="00E00AE0" w:rsidRDefault="00093D73" w:rsidP="002D70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neodpovídá za cenné věci, hotovost a vkladní knížky, které nepřevzal do úschovy</w:t>
      </w: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72E6BCF" w14:textId="2F067377" w:rsidR="00EE0A37" w:rsidRPr="006F434A" w:rsidRDefault="00E00AE0" w:rsidP="006F434A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br w:type="page"/>
      </w:r>
    </w:p>
    <w:p w14:paraId="14A1A7F1" w14:textId="4C83C0F7" w:rsidR="00EE0A37" w:rsidRPr="00A82E1B" w:rsidRDefault="00EE0A37" w:rsidP="000C6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bookmarkStart w:id="2" w:name="_Hlk118785258"/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lastRenderedPageBreak/>
        <w:t xml:space="preserve">VI. </w:t>
      </w:r>
    </w:p>
    <w:p w14:paraId="5294E0E6" w14:textId="3180AF04" w:rsidR="006A54E2" w:rsidRPr="00EE5577" w:rsidRDefault="000E2F2B" w:rsidP="00EE55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Ujednání o dodržování vnitřních pravidel </w:t>
      </w:r>
      <w:r w:rsidR="00AA65AC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P</w:t>
      </w: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oskytovatele</w:t>
      </w:r>
      <w:r w:rsidR="00A9259E"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 </w:t>
      </w:r>
    </w:p>
    <w:p w14:paraId="3B74A81A" w14:textId="416157FE" w:rsidR="00A82E1B" w:rsidRPr="00AB4108" w:rsidRDefault="00A82E1B" w:rsidP="004F34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Klient prohlašuje, že byl seznámen s</w:t>
      </w:r>
      <w:r w:rsidR="004173C0">
        <w:rPr>
          <w:rFonts w:ascii="Arial" w:eastAsia="Times New Roman" w:hAnsi="Arial" w:cs="Times New Roman"/>
          <w:bCs/>
          <w:sz w:val="28"/>
          <w:szCs w:val="24"/>
          <w:lang w:eastAsia="cs-CZ"/>
        </w:rPr>
        <w:t> Vnitřním předpisem č. 5/2010 – Vnitřní pravidla.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Klient dále prohlašuje, že jim plně porozuměl</w:t>
      </w:r>
      <w:r w:rsidR="0059757E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a byly mu předány v písemné podobě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. Klient se zavazuje a je povinen tato pravidla dodržovat. Vnitřní pravidla </w:t>
      </w:r>
      <w:r w:rsidR="006F434A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a výše uvedené předpisy 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jsou k dispozici všem na chodbách </w:t>
      </w:r>
      <w:r w:rsidR="007A0D19">
        <w:rPr>
          <w:rFonts w:ascii="Arial" w:eastAsia="Times New Roman" w:hAnsi="Arial" w:cs="Times New Roman"/>
          <w:bCs/>
          <w:sz w:val="28"/>
          <w:szCs w:val="24"/>
          <w:lang w:eastAsia="cs-CZ"/>
        </w:rPr>
        <w:t>D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omova.</w:t>
      </w:r>
      <w:r w:rsidR="006B7A30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</w:p>
    <w:p w14:paraId="23278917" w14:textId="018169FD" w:rsidR="00A82E1B" w:rsidRPr="006A54E2" w:rsidRDefault="006A54E2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 bude zajišťovat služby podle této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S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mlouvy způsobem odpovídajícím příslušné platné legislativě a vnitřní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m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předpisům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P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oskytovatele.</w:t>
      </w:r>
    </w:p>
    <w:bookmarkEnd w:id="2"/>
    <w:p w14:paraId="4A9BAC92" w14:textId="77777777" w:rsidR="00BF0AC4" w:rsidRPr="00BF0AC4" w:rsidRDefault="00BF0AC4" w:rsidP="00A447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513844F7" w14:textId="758EB372" w:rsidR="00BF0AC4" w:rsidRPr="0059757E" w:rsidRDefault="00A44713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8"/>
          <w:szCs w:val="24"/>
          <w:lang w:eastAsia="cs-CZ"/>
        </w:rPr>
      </w:pPr>
      <w:r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VII</w:t>
      </w:r>
      <w:r w:rsidR="002354B7"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.</w:t>
      </w:r>
    </w:p>
    <w:p w14:paraId="656D5522" w14:textId="30C701DF" w:rsidR="006A54E2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Způsob a podmínky ukončení smlouvy</w:t>
      </w:r>
    </w:p>
    <w:p w14:paraId="5E046B7A" w14:textId="3890B3A0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smlouvu vypovědět kdykoliv, i bez udání důvodu, a tím ukončit poskytování sociální služby. Toto ukončení je zpracováno v písemné podobě.</w:t>
      </w:r>
    </w:p>
    <w:p w14:paraId="1E4A4A33" w14:textId="3AF55F83" w:rsidR="00D4514F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>Poskytovatel může smlouvu vypovědět</w:t>
      </w:r>
      <w:r w:rsidR="005254ED">
        <w:rPr>
          <w:rFonts w:ascii="Arial" w:eastAsia="Times New Roman" w:hAnsi="Arial" w:cs="Times New Roman"/>
          <w:sz w:val="28"/>
          <w:szCs w:val="24"/>
          <w:lang w:eastAsia="cs-CZ"/>
        </w:rPr>
        <w:t xml:space="preserve"> a tím ukončit pobyt</w:t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 xml:space="preserve"> pouze z těchto důvodů:</w:t>
      </w:r>
    </w:p>
    <w:p w14:paraId="3868BF34" w14:textId="2819E9BE" w:rsidR="004F3494" w:rsidRDefault="005254ED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a)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jestliže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hrubě porušuje své povinnosti vyplývající ze smlouvy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</w:p>
    <w:p w14:paraId="7F6C41F9" w14:textId="06D2EB53" w:rsidR="00BF0AC4" w:rsidRPr="004F3494" w:rsidRDefault="004F349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    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Hrubým porušením je zejména: </w:t>
      </w:r>
    </w:p>
    <w:p w14:paraId="772BFC31" w14:textId="0DBCE1DA" w:rsidR="00BF0AC4" w:rsidRPr="00A44713" w:rsidRDefault="00BF0AC4" w:rsidP="00EF19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nezaplacení úhrady ve třech po sobě následujících měsících, byl-li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povinen hradit úhradu dle této smlouvy </w:t>
      </w:r>
    </w:p>
    <w:p w14:paraId="600ECCE3" w14:textId="04B6B3A6" w:rsidR="005254ED" w:rsidRPr="005254ED" w:rsidRDefault="007A0D19" w:rsidP="005254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i po opětovném písemném napomenutí hrubě porušuje </w:t>
      </w:r>
      <w:r w:rsidR="004173C0">
        <w:rPr>
          <w:rFonts w:ascii="Arial" w:eastAsia="Times New Roman" w:hAnsi="Arial" w:cs="Times New Roman"/>
          <w:sz w:val="28"/>
          <w:szCs w:val="24"/>
          <w:lang w:eastAsia="cs-CZ"/>
        </w:rPr>
        <w:t xml:space="preserve">Vnitřní předpis č. 5/2010 -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nitřní pravidla (rušení nočního klidu, hrubé chování a agresivita vůči ostatním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lientům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a personálu, výtržnictví pod vlivem alkoholu, úmyslné poškozování majetku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a ostatních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0337EE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381DF913" w14:textId="1EE8A05A" w:rsidR="00BF0AC4" w:rsidRPr="00A44713" w:rsidRDefault="005254ED" w:rsidP="00EF19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b) 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j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není z důvodu závažné změny zdravotního stavu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schopen nadále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ientovi odpovídající p</w:t>
      </w:r>
      <w:r w:rsidR="006C4D4B">
        <w:rPr>
          <w:rFonts w:ascii="Arial" w:eastAsia="Times New Roman" w:hAnsi="Arial" w:cs="Times New Roman"/>
          <w:sz w:val="28"/>
          <w:szCs w:val="24"/>
          <w:lang w:eastAsia="cs-CZ"/>
        </w:rPr>
        <w:t>é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či (zejména pokud by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lient z důvodu zdravotního postižení ohrožoval při pobytu v 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omově sebe, nebo své okolí).</w:t>
      </w:r>
    </w:p>
    <w:p w14:paraId="3D109645" w14:textId="69C6C422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Výpovědní lhůta pro výpověď danou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lientem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nebo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>oskytovatelem činí 1</w:t>
      </w:r>
      <w:r w:rsidR="00F94251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>kalendářní měsíc od prvního dne následujícího  po kalendářním měsíci, v němž byla výpověď doručena.</w:t>
      </w:r>
    </w:p>
    <w:p w14:paraId="5DD99583" w14:textId="7C91336F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4.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Poskytovatel není povinen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náhradní ubytování.</w:t>
      </w:r>
    </w:p>
    <w:p w14:paraId="7F49A292" w14:textId="44438B1F" w:rsidR="00EE5577" w:rsidRDefault="00072FD1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.  Pobyt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 </w:t>
      </w:r>
      <w:r w:rsidR="00AA65AC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omově může být ukončen také dohodou smluvních stran.</w:t>
      </w:r>
    </w:p>
    <w:p w14:paraId="164FE362" w14:textId="5641293D" w:rsidR="006D2713" w:rsidRDefault="006D2713" w:rsidP="00EE5577">
      <w:pPr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10AFC09F" w14:textId="77777777" w:rsidR="0059757E" w:rsidRPr="0059757E" w:rsidRDefault="00072FD1" w:rsidP="006D2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VIII</w:t>
      </w:r>
      <w:r w:rsidR="006D2713"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. </w:t>
      </w:r>
    </w:p>
    <w:p w14:paraId="618DBFEB" w14:textId="5D9FA48C" w:rsidR="006A54E2" w:rsidRPr="0059757E" w:rsidRDefault="006D2713" w:rsidP="00EE55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Doba platnosti smlouvy</w:t>
      </w:r>
    </w:p>
    <w:p w14:paraId="2DC622AB" w14:textId="77777777" w:rsidR="00050616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Smlouva nabývá platnosti dnem podpisu oběma smluvními stranami</w:t>
      </w:r>
      <w:r w:rsidR="00050616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</w:p>
    <w:p w14:paraId="6870CD6C" w14:textId="0A4160A6" w:rsidR="00C33B54" w:rsidRPr="00C33B54" w:rsidRDefault="00050616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Počátek účinnosti smlouvy je 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>dne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="002354B7" w:rsidRPr="00C33B54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  <w:r w:rsidR="00F73E57">
        <w:rPr>
          <w:rFonts w:ascii="Arial" w:eastAsia="Times New Roman" w:hAnsi="Arial" w:cs="Times New Roman"/>
          <w:b/>
          <w:sz w:val="28"/>
          <w:szCs w:val="24"/>
          <w:lang w:eastAsia="cs-CZ"/>
        </w:rPr>
        <w:t>.</w:t>
      </w:r>
    </w:p>
    <w:p w14:paraId="3DD5E252" w14:textId="77777777" w:rsidR="00C33B54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Tato smlouva je uzavřena na dobu neurčitou.</w:t>
      </w:r>
    </w:p>
    <w:p w14:paraId="03EA0C12" w14:textId="24539EA8" w:rsidR="00E00AE0" w:rsidRDefault="00573E5A" w:rsidP="007175D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6D2713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nemůže práva z této smlouvy postoupit na třetí osobu.</w:t>
      </w:r>
    </w:p>
    <w:p w14:paraId="5BBBDC0B" w14:textId="2588601E" w:rsidR="007175DF" w:rsidRPr="007175DF" w:rsidRDefault="00E00AE0" w:rsidP="00E00AE0">
      <w:pPr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br w:type="page"/>
      </w:r>
    </w:p>
    <w:p w14:paraId="602F3EA8" w14:textId="77777777" w:rsidR="00072A50" w:rsidRDefault="00072FD1" w:rsidP="00072A50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lastRenderedPageBreak/>
        <w:t>I</w:t>
      </w:r>
      <w:r w:rsidR="00A44713"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t>X.</w:t>
      </w:r>
    </w:p>
    <w:p w14:paraId="4F4DD59C" w14:textId="50787536" w:rsidR="00BF0AC4" w:rsidRPr="00EE5577" w:rsidRDefault="00BF0AC4" w:rsidP="00EE5577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Závěrečná ujednání</w:t>
      </w:r>
    </w:p>
    <w:p w14:paraId="11BB6CB0" w14:textId="5E454CA4" w:rsidR="00C33B5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Times New Roman"/>
          <w:sz w:val="28"/>
          <w:szCs w:val="24"/>
          <w:lang w:eastAsia="cs-CZ"/>
        </w:rPr>
        <w:t xml:space="preserve"> byl s touto smlouvou seznámen a obsahu rozumí.</w:t>
      </w:r>
    </w:p>
    <w:p w14:paraId="4948363E" w14:textId="3F66B386" w:rsidR="00BF0AC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>oskytovatel souhlasí s obsahem smlouvy.</w:t>
      </w:r>
    </w:p>
    <w:p w14:paraId="5E5363DD" w14:textId="011D9684" w:rsidR="00BF0AC4" w:rsidRPr="00EF1983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3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oskytovatel prohlašují, že tuto smlouvu uzavírají svobodně a vážně a přejímají všechna práva a závazky podle ní.</w:t>
      </w:r>
    </w:p>
    <w:p w14:paraId="5F85187B" w14:textId="5EC81013" w:rsidR="00C33B54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Smlouva je </w:t>
      </w:r>
      <w:r w:rsidR="00324F86">
        <w:rPr>
          <w:rFonts w:ascii="Arial" w:eastAsia="Times New Roman" w:hAnsi="Arial" w:cs="Times New Roman"/>
          <w:sz w:val="28"/>
          <w:szCs w:val="24"/>
          <w:lang w:eastAsia="cs-CZ"/>
        </w:rPr>
        <w:t>vyhotovena ve dvou exemplářích s platností originálu. Každá smluvní strana obdrží jedno vyhotovení.</w:t>
      </w:r>
    </w:p>
    <w:p w14:paraId="78FDD696" w14:textId="57AD3C14" w:rsidR="00BF0AC4" w:rsidRPr="00C33B54" w:rsidRDefault="00C33B54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 smlouva může být měněna a doplňována pouze dohodou smluvních stran, a to písemným dodatkem</w:t>
      </w:r>
      <w:r w:rsidR="00A4471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CA186B8" w14:textId="77777777" w:rsidR="00A44713" w:rsidRPr="00A44713" w:rsidRDefault="00A44713" w:rsidP="00A44713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3D1E24F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487DD85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V Českém Brodě dne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DatumDat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&lt;&lt;Datum&gt;&gt;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</w:p>
    <w:p w14:paraId="1EE1B164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35F01C0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7ED2F3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DE66D6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BFFC916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6ED1FB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89DD14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29735CC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………………….....................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>…………..………………………</w:t>
      </w:r>
    </w:p>
    <w:p w14:paraId="49BBF88B" w14:textId="48591D53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Podpis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K</w:t>
      </w:r>
      <w:r w:rsidR="00573E5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lienta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>Ing. Lucie Hovorková</w:t>
      </w:r>
    </w:p>
    <w:p w14:paraId="4B3ABEB1" w14:textId="71C6D2DA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Klient_JmenoKlienta</w:instrTex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&lt;&lt;Klient&gt;&gt;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       ředitelka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</w:p>
    <w:p w14:paraId="6E63E7D7" w14:textId="1557E1FB" w:rsidR="002D4C1E" w:rsidRDefault="002D4C1E"/>
    <w:p w14:paraId="6785281B" w14:textId="7A609069" w:rsidR="00AC37BF" w:rsidRDefault="00AC37BF"/>
    <w:p w14:paraId="016C9704" w14:textId="50267A3A" w:rsidR="00AC37BF" w:rsidRDefault="00AC37BF"/>
    <w:sectPr w:rsidR="00AC37BF" w:rsidSect="00F94251">
      <w:footerReference w:type="even" r:id="rId9"/>
      <w:footerReference w:type="default" r:id="rId10"/>
      <w:pgSz w:w="11906" w:h="16838"/>
      <w:pgMar w:top="539" w:right="851" w:bottom="180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9895" w14:textId="77777777" w:rsidR="001508D0" w:rsidRDefault="001508D0">
      <w:pPr>
        <w:spacing w:after="0" w:line="240" w:lineRule="auto"/>
      </w:pPr>
      <w:r>
        <w:separator/>
      </w:r>
    </w:p>
  </w:endnote>
  <w:endnote w:type="continuationSeparator" w:id="0">
    <w:p w14:paraId="286872E7" w14:textId="77777777" w:rsidR="001508D0" w:rsidRDefault="0015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701B" w14:textId="77777777" w:rsidR="009B1960" w:rsidRDefault="00000000">
    <w:pPr>
      <w:pStyle w:val="Zpat"/>
      <w:framePr w:wrap="around" w:vAnchor="text" w:hAnchor="margin" w:y="1"/>
      <w:rPr>
        <w:sz w:val="22"/>
        <w:szCs w:val="24"/>
      </w:rPr>
    </w:pPr>
    <w:r>
      <w:rPr>
        <w:rStyle w:val="slostrnky"/>
        <w:sz w:val="22"/>
        <w:szCs w:val="24"/>
      </w:rPr>
      <w:fldChar w:fldCharType="begin"/>
    </w:r>
    <w:r>
      <w:rPr>
        <w:rStyle w:val="slostrnky"/>
        <w:sz w:val="22"/>
        <w:szCs w:val="24"/>
      </w:rPr>
      <w:instrText xml:space="preserve">PAGE  </w:instrText>
    </w:r>
    <w:r>
      <w:rPr>
        <w:rStyle w:val="slostrnky"/>
        <w:sz w:val="22"/>
        <w:szCs w:val="24"/>
      </w:rPr>
      <w:fldChar w:fldCharType="separate"/>
    </w:r>
    <w:r>
      <w:rPr>
        <w:rStyle w:val="slostrnky"/>
        <w:rFonts w:cs="Calibri"/>
        <w:sz w:val="22"/>
        <w:szCs w:val="24"/>
      </w:rPr>
      <w:t>#</w:t>
    </w:r>
    <w:r>
      <w:rPr>
        <w:rStyle w:val="slostrnky"/>
        <w:sz w:val="22"/>
        <w:szCs w:val="24"/>
      </w:rPr>
      <w:fldChar w:fldCharType="end"/>
    </w:r>
  </w:p>
  <w:p w14:paraId="0383938E" w14:textId="77777777" w:rsidR="009B1960" w:rsidRDefault="00000000">
    <w:pPr>
      <w:pStyle w:val="Zpat"/>
      <w:rPr>
        <w:rFonts w:cs="Calibri"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2F5496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2DEA3639" w14:textId="2FE0D407" w:rsidR="007E455B" w:rsidRPr="000633B3" w:rsidRDefault="007E455B" w:rsidP="007E455B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F0BD060" wp14:editId="5345ADFE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6C4AF3" id="Přímá spojnice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0D2EFEBA" w14:textId="77777777" w:rsidR="007E455B" w:rsidRPr="00436874" w:rsidRDefault="007E455B" w:rsidP="007E455B">
        <w:pPr>
          <w:spacing w:before="80" w:line="153" w:lineRule="atLeast"/>
          <w:jc w:val="center"/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30CF2D" wp14:editId="7288CC6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8F19" w14:textId="77777777" w:rsidR="007E455B" w:rsidRPr="00AF071D" w:rsidRDefault="007E455B" w:rsidP="007E45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30CF2D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64D68F19" w14:textId="77777777" w:rsidR="007E455B" w:rsidRPr="00AF071D" w:rsidRDefault="007E455B" w:rsidP="007E45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1312" behindDoc="1" locked="0" layoutInCell="1" allowOverlap="1" wp14:anchorId="0515C00B" wp14:editId="2E7523F7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telefon: 321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 622 257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IČO: 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00873713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www.domov-anna.cz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</w:t>
        </w:r>
        <w:r w:rsidRPr="004532A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| info@domov-anna.cz</w:t>
        </w:r>
      </w:p>
    </w:sdtContent>
  </w:sdt>
  <w:p w14:paraId="5A7D35E2" w14:textId="351CE097" w:rsidR="007E455B" w:rsidRDefault="007E455B">
    <w:pPr>
      <w:pStyle w:val="Zpat"/>
    </w:pPr>
  </w:p>
  <w:p w14:paraId="78221229" w14:textId="77777777" w:rsidR="009B1960" w:rsidRDefault="00000000">
    <w:pPr>
      <w:pStyle w:val="Zpat"/>
      <w:rPr>
        <w:rFonts w:cs="Calibr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9D98" w14:textId="77777777" w:rsidR="001508D0" w:rsidRDefault="001508D0">
      <w:pPr>
        <w:spacing w:after="0" w:line="240" w:lineRule="auto"/>
      </w:pPr>
      <w:r>
        <w:separator/>
      </w:r>
    </w:p>
  </w:footnote>
  <w:footnote w:type="continuationSeparator" w:id="0">
    <w:p w14:paraId="7AD91BA7" w14:textId="77777777" w:rsidR="001508D0" w:rsidRDefault="0015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997"/>
    <w:multiLevelType w:val="hybridMultilevel"/>
    <w:tmpl w:val="98FC8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C91"/>
    <w:multiLevelType w:val="hybridMultilevel"/>
    <w:tmpl w:val="E7B82EAC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8E5"/>
    <w:multiLevelType w:val="hybridMultilevel"/>
    <w:tmpl w:val="E7AE9D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005B6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67321E"/>
    <w:multiLevelType w:val="hybridMultilevel"/>
    <w:tmpl w:val="CBF2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437"/>
    <w:multiLevelType w:val="hybridMultilevel"/>
    <w:tmpl w:val="14B25038"/>
    <w:lvl w:ilvl="0" w:tplc="0405000F">
      <w:start w:val="1"/>
      <w:numFmt w:val="decimal"/>
      <w:lvlText w:val="%1.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6336B3"/>
    <w:multiLevelType w:val="hybridMultilevel"/>
    <w:tmpl w:val="41E421D6"/>
    <w:lvl w:ilvl="0" w:tplc="CD3C22F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CC0"/>
    <w:multiLevelType w:val="hybridMultilevel"/>
    <w:tmpl w:val="CB2A9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76EE"/>
    <w:multiLevelType w:val="hybridMultilevel"/>
    <w:tmpl w:val="A4F4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3DA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46D4268"/>
    <w:multiLevelType w:val="hybridMultilevel"/>
    <w:tmpl w:val="A88A2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4ACE"/>
    <w:multiLevelType w:val="hybridMultilevel"/>
    <w:tmpl w:val="0930D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A5D04"/>
    <w:multiLevelType w:val="hybridMultilevel"/>
    <w:tmpl w:val="4B961C54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67EE0"/>
    <w:multiLevelType w:val="hybridMultilevel"/>
    <w:tmpl w:val="34AAA560"/>
    <w:lvl w:ilvl="0" w:tplc="F87C32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D726A"/>
    <w:multiLevelType w:val="hybridMultilevel"/>
    <w:tmpl w:val="4426B62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B3EE5"/>
    <w:multiLevelType w:val="hybridMultilevel"/>
    <w:tmpl w:val="0836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2CC8"/>
    <w:multiLevelType w:val="hybridMultilevel"/>
    <w:tmpl w:val="297E374E"/>
    <w:lvl w:ilvl="0" w:tplc="CD608D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4764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A256F95"/>
    <w:multiLevelType w:val="hybridMultilevel"/>
    <w:tmpl w:val="2594E688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7C67"/>
    <w:multiLevelType w:val="hybridMultilevel"/>
    <w:tmpl w:val="4232FF44"/>
    <w:lvl w:ilvl="0" w:tplc="4C9C90D2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560F"/>
    <w:multiLevelType w:val="hybridMultilevel"/>
    <w:tmpl w:val="867A8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11FE4"/>
    <w:multiLevelType w:val="hybridMultilevel"/>
    <w:tmpl w:val="6D84F602"/>
    <w:lvl w:ilvl="0" w:tplc="776A88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177BC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641352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1270E82"/>
    <w:multiLevelType w:val="hybridMultilevel"/>
    <w:tmpl w:val="8F2E765A"/>
    <w:lvl w:ilvl="0" w:tplc="D080549E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550"/>
    <w:multiLevelType w:val="hybridMultilevel"/>
    <w:tmpl w:val="318C30C6"/>
    <w:lvl w:ilvl="0" w:tplc="6B22613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sz w:val="56"/>
        <w:szCs w:val="5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B8469AF"/>
    <w:multiLevelType w:val="hybridMultilevel"/>
    <w:tmpl w:val="51383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11B5"/>
    <w:multiLevelType w:val="hybridMultilevel"/>
    <w:tmpl w:val="00089428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8990">
    <w:abstractNumId w:val="23"/>
  </w:num>
  <w:num w:numId="2" w16cid:durableId="1618486248">
    <w:abstractNumId w:val="3"/>
  </w:num>
  <w:num w:numId="3" w16cid:durableId="1098065478">
    <w:abstractNumId w:val="25"/>
  </w:num>
  <w:num w:numId="4" w16cid:durableId="332491219">
    <w:abstractNumId w:val="17"/>
  </w:num>
  <w:num w:numId="5" w16cid:durableId="2137873530">
    <w:abstractNumId w:val="9"/>
  </w:num>
  <w:num w:numId="6" w16cid:durableId="180629204">
    <w:abstractNumId w:val="22"/>
  </w:num>
  <w:num w:numId="7" w16cid:durableId="1827895370">
    <w:abstractNumId w:val="0"/>
  </w:num>
  <w:num w:numId="8" w16cid:durableId="1694308335">
    <w:abstractNumId w:val="6"/>
  </w:num>
  <w:num w:numId="9" w16cid:durableId="1758862071">
    <w:abstractNumId w:val="16"/>
  </w:num>
  <w:num w:numId="10" w16cid:durableId="2102949044">
    <w:abstractNumId w:val="4"/>
  </w:num>
  <w:num w:numId="11" w16cid:durableId="425880096">
    <w:abstractNumId w:val="26"/>
  </w:num>
  <w:num w:numId="12" w16cid:durableId="1069232029">
    <w:abstractNumId w:val="7"/>
  </w:num>
  <w:num w:numId="13" w16cid:durableId="1875190258">
    <w:abstractNumId w:val="11"/>
  </w:num>
  <w:num w:numId="14" w16cid:durableId="1987319723">
    <w:abstractNumId w:val="18"/>
  </w:num>
  <w:num w:numId="15" w16cid:durableId="8915805">
    <w:abstractNumId w:val="12"/>
  </w:num>
  <w:num w:numId="16" w16cid:durableId="137909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934704">
    <w:abstractNumId w:val="21"/>
  </w:num>
  <w:num w:numId="18" w16cid:durableId="2002997219">
    <w:abstractNumId w:val="15"/>
  </w:num>
  <w:num w:numId="19" w16cid:durableId="2027553982">
    <w:abstractNumId w:val="5"/>
  </w:num>
  <w:num w:numId="20" w16cid:durableId="1088964387">
    <w:abstractNumId w:val="20"/>
  </w:num>
  <w:num w:numId="21" w16cid:durableId="1947107092">
    <w:abstractNumId w:val="1"/>
  </w:num>
  <w:num w:numId="22" w16cid:durableId="1943999011">
    <w:abstractNumId w:val="27"/>
  </w:num>
  <w:num w:numId="23" w16cid:durableId="1199859168">
    <w:abstractNumId w:val="2"/>
  </w:num>
  <w:num w:numId="24" w16cid:durableId="818883603">
    <w:abstractNumId w:val="14"/>
  </w:num>
  <w:num w:numId="25" w16cid:durableId="713235379">
    <w:abstractNumId w:val="10"/>
  </w:num>
  <w:num w:numId="26" w16cid:durableId="1025863285">
    <w:abstractNumId w:val="8"/>
  </w:num>
  <w:num w:numId="27" w16cid:durableId="888222780">
    <w:abstractNumId w:val="19"/>
  </w:num>
  <w:num w:numId="28" w16cid:durableId="9761115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4"/>
    <w:rsid w:val="00012035"/>
    <w:rsid w:val="00013CF9"/>
    <w:rsid w:val="00016C80"/>
    <w:rsid w:val="000337EE"/>
    <w:rsid w:val="00037C67"/>
    <w:rsid w:val="00046A58"/>
    <w:rsid w:val="00046ACA"/>
    <w:rsid w:val="00050616"/>
    <w:rsid w:val="00072A50"/>
    <w:rsid w:val="00072FD1"/>
    <w:rsid w:val="00093D73"/>
    <w:rsid w:val="000B4BEA"/>
    <w:rsid w:val="000C6691"/>
    <w:rsid w:val="000D38F9"/>
    <w:rsid w:val="000E2F2B"/>
    <w:rsid w:val="00131012"/>
    <w:rsid w:val="001508D0"/>
    <w:rsid w:val="001548C0"/>
    <w:rsid w:val="001A4917"/>
    <w:rsid w:val="001A777B"/>
    <w:rsid w:val="001D7868"/>
    <w:rsid w:val="001E5589"/>
    <w:rsid w:val="00203777"/>
    <w:rsid w:val="00223C31"/>
    <w:rsid w:val="002354B7"/>
    <w:rsid w:val="002B5ACB"/>
    <w:rsid w:val="002D4C1E"/>
    <w:rsid w:val="002D6615"/>
    <w:rsid w:val="002D7009"/>
    <w:rsid w:val="002F05F9"/>
    <w:rsid w:val="00306E5E"/>
    <w:rsid w:val="00322C96"/>
    <w:rsid w:val="00324F86"/>
    <w:rsid w:val="0036593D"/>
    <w:rsid w:val="003718F0"/>
    <w:rsid w:val="00384F9F"/>
    <w:rsid w:val="00396225"/>
    <w:rsid w:val="00397AF8"/>
    <w:rsid w:val="003A5847"/>
    <w:rsid w:val="003B20CA"/>
    <w:rsid w:val="003C7E9F"/>
    <w:rsid w:val="003F4A73"/>
    <w:rsid w:val="0041097B"/>
    <w:rsid w:val="004173C0"/>
    <w:rsid w:val="00420E23"/>
    <w:rsid w:val="00434DC4"/>
    <w:rsid w:val="004F3494"/>
    <w:rsid w:val="0052208A"/>
    <w:rsid w:val="005254ED"/>
    <w:rsid w:val="005614BE"/>
    <w:rsid w:val="00573E5A"/>
    <w:rsid w:val="0059675D"/>
    <w:rsid w:val="0059757E"/>
    <w:rsid w:val="005C5EF4"/>
    <w:rsid w:val="005F2C7E"/>
    <w:rsid w:val="005F43AF"/>
    <w:rsid w:val="006465F4"/>
    <w:rsid w:val="0064797C"/>
    <w:rsid w:val="0065450E"/>
    <w:rsid w:val="00657C80"/>
    <w:rsid w:val="006877DD"/>
    <w:rsid w:val="006A54E2"/>
    <w:rsid w:val="006B7A30"/>
    <w:rsid w:val="006C4D4B"/>
    <w:rsid w:val="006D2713"/>
    <w:rsid w:val="006E3231"/>
    <w:rsid w:val="006F11B2"/>
    <w:rsid w:val="006F434A"/>
    <w:rsid w:val="006F445A"/>
    <w:rsid w:val="006F76F8"/>
    <w:rsid w:val="007175DF"/>
    <w:rsid w:val="00720FEE"/>
    <w:rsid w:val="00727F7B"/>
    <w:rsid w:val="00797F49"/>
    <w:rsid w:val="007A0D19"/>
    <w:rsid w:val="007C3F4D"/>
    <w:rsid w:val="007E455B"/>
    <w:rsid w:val="007F7541"/>
    <w:rsid w:val="0084563D"/>
    <w:rsid w:val="008513E3"/>
    <w:rsid w:val="0085193E"/>
    <w:rsid w:val="00857E56"/>
    <w:rsid w:val="008A2AB8"/>
    <w:rsid w:val="008A6614"/>
    <w:rsid w:val="008C36FC"/>
    <w:rsid w:val="008E29F3"/>
    <w:rsid w:val="00922A85"/>
    <w:rsid w:val="00934A3E"/>
    <w:rsid w:val="0094689E"/>
    <w:rsid w:val="00984ADE"/>
    <w:rsid w:val="009E330A"/>
    <w:rsid w:val="00A147F6"/>
    <w:rsid w:val="00A44713"/>
    <w:rsid w:val="00A466BD"/>
    <w:rsid w:val="00A501E5"/>
    <w:rsid w:val="00A82E1B"/>
    <w:rsid w:val="00A83222"/>
    <w:rsid w:val="00A921D7"/>
    <w:rsid w:val="00A9259E"/>
    <w:rsid w:val="00AA65AC"/>
    <w:rsid w:val="00AB4108"/>
    <w:rsid w:val="00AC37BF"/>
    <w:rsid w:val="00AD204F"/>
    <w:rsid w:val="00AD3A95"/>
    <w:rsid w:val="00AD561B"/>
    <w:rsid w:val="00AF4A45"/>
    <w:rsid w:val="00B51755"/>
    <w:rsid w:val="00B65E6B"/>
    <w:rsid w:val="00B92390"/>
    <w:rsid w:val="00BA5F01"/>
    <w:rsid w:val="00BC1AD5"/>
    <w:rsid w:val="00BF0AC4"/>
    <w:rsid w:val="00BF1EE5"/>
    <w:rsid w:val="00BF37D1"/>
    <w:rsid w:val="00C33B54"/>
    <w:rsid w:val="00C80D1A"/>
    <w:rsid w:val="00CA2D1E"/>
    <w:rsid w:val="00CC1A7C"/>
    <w:rsid w:val="00CC1FE9"/>
    <w:rsid w:val="00CC2DE9"/>
    <w:rsid w:val="00CD4887"/>
    <w:rsid w:val="00D062C1"/>
    <w:rsid w:val="00D4514F"/>
    <w:rsid w:val="00D56B9E"/>
    <w:rsid w:val="00D63849"/>
    <w:rsid w:val="00D82C40"/>
    <w:rsid w:val="00D92EA9"/>
    <w:rsid w:val="00DB0350"/>
    <w:rsid w:val="00DB1E72"/>
    <w:rsid w:val="00DE7F0A"/>
    <w:rsid w:val="00DF31C2"/>
    <w:rsid w:val="00E007A1"/>
    <w:rsid w:val="00E00AE0"/>
    <w:rsid w:val="00E14393"/>
    <w:rsid w:val="00E75007"/>
    <w:rsid w:val="00EC6200"/>
    <w:rsid w:val="00EE0A37"/>
    <w:rsid w:val="00EE48DA"/>
    <w:rsid w:val="00EE4DD4"/>
    <w:rsid w:val="00EE5577"/>
    <w:rsid w:val="00EF1983"/>
    <w:rsid w:val="00F604E1"/>
    <w:rsid w:val="00F616E0"/>
    <w:rsid w:val="00F73E57"/>
    <w:rsid w:val="00F84C4E"/>
    <w:rsid w:val="00F94251"/>
    <w:rsid w:val="00FB3C42"/>
    <w:rsid w:val="00FB4765"/>
    <w:rsid w:val="00FE03A6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13C"/>
  <w15:chartTrackingRefBased/>
  <w15:docId w15:val="{85BEBCAF-1AFE-4300-8FFE-79DBAC8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563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F0AC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F0AC4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Times New Roman"/>
      <w:color w:val="000000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AC4"/>
    <w:rPr>
      <w:rFonts w:ascii="Arial" w:eastAsia="Times New Roman" w:hAnsi="Arial" w:cs="Times New Roman"/>
      <w:color w:val="000000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F0AC4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character" w:styleId="slodku">
    <w:name w:val="line number"/>
    <w:basedOn w:val="Standardnpsmoodstavce"/>
    <w:uiPriority w:val="99"/>
    <w:rsid w:val="00BF0AC4"/>
    <w:rPr>
      <w:rFonts w:cs="Times New Roman"/>
      <w:szCs w:val="22"/>
    </w:rPr>
  </w:style>
  <w:style w:type="character" w:styleId="Hypertextovodkaz">
    <w:name w:val="Hyperlink"/>
    <w:basedOn w:val="Standardnpsmoodstavce"/>
    <w:uiPriority w:val="99"/>
    <w:rsid w:val="00BF0AC4"/>
    <w:rPr>
      <w:rFonts w:cs="Times New Roman"/>
      <w:color w:val="0000FF"/>
      <w:szCs w:val="22"/>
      <w:u w:val="single"/>
    </w:rPr>
  </w:style>
  <w:style w:type="character" w:styleId="slostrnky">
    <w:name w:val="page number"/>
    <w:basedOn w:val="Standardnpsmoodstavce"/>
    <w:uiPriority w:val="99"/>
    <w:rsid w:val="00BF0AC4"/>
    <w:rPr>
      <w:rFonts w:cs="Times New Roman"/>
      <w:szCs w:val="22"/>
    </w:rPr>
  </w:style>
  <w:style w:type="table" w:styleId="Jednoduchtabulka1">
    <w:name w:val="Table Simple 1"/>
    <w:basedOn w:val="Normlntabulka"/>
    <w:uiPriority w:val="99"/>
    <w:rsid w:val="00BF0A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C1A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D1E"/>
  </w:style>
  <w:style w:type="character" w:customStyle="1" w:styleId="Nadpis1Char">
    <w:name w:val="Nadpis 1 Char"/>
    <w:basedOn w:val="Standardnpsmoodstavce"/>
    <w:link w:val="Nadpis1"/>
    <w:rsid w:val="0084563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712C-280A-4E3D-B348-D177F0CB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6</cp:revision>
  <cp:lastPrinted>2022-11-25T11:36:00Z</cp:lastPrinted>
  <dcterms:created xsi:type="dcterms:W3CDTF">2023-05-19T06:18:00Z</dcterms:created>
  <dcterms:modified xsi:type="dcterms:W3CDTF">2023-05-19T11:23:00Z</dcterms:modified>
</cp:coreProperties>
</file>